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17" w:rsidRDefault="00E963C7" w:rsidP="00E963C7">
      <w:pPr>
        <w:pStyle w:val="NoSpacing"/>
        <w:jc w:val="center"/>
        <w:rPr>
          <w:sz w:val="144"/>
          <w:szCs w:val="144"/>
        </w:rPr>
      </w:pPr>
      <w:bookmarkStart w:id="0" w:name="_GoBack"/>
      <w:bookmarkEnd w:id="0"/>
      <w:r w:rsidRPr="009C611E">
        <w:rPr>
          <w:sz w:val="144"/>
          <w:szCs w:val="144"/>
        </w:rPr>
        <w:t>COVER PAGE</w:t>
      </w:r>
    </w:p>
    <w:p w:rsidR="004A511F" w:rsidRPr="00F1656A" w:rsidRDefault="00F1656A" w:rsidP="00E963C7">
      <w:pPr>
        <w:pStyle w:val="NoSpacing"/>
        <w:jc w:val="center"/>
        <w:rPr>
          <w:b/>
          <w:color w:val="FF0000"/>
          <w:sz w:val="56"/>
          <w:szCs w:val="56"/>
        </w:rPr>
      </w:pPr>
      <w:r w:rsidRPr="00F1656A">
        <w:rPr>
          <w:b/>
          <w:color w:val="FF0000"/>
          <w:sz w:val="56"/>
          <w:szCs w:val="56"/>
        </w:rPr>
        <w:t xml:space="preserve">[ </w:t>
      </w:r>
      <w:r w:rsidRPr="00F1656A">
        <w:rPr>
          <w:b/>
          <w:color w:val="FF0000"/>
          <w:sz w:val="56"/>
          <w:szCs w:val="56"/>
          <w:u w:val="single"/>
        </w:rPr>
        <w:t>DISCARD</w:t>
      </w:r>
      <w:r w:rsidRPr="00F1656A">
        <w:rPr>
          <w:b/>
          <w:color w:val="FF0000"/>
          <w:sz w:val="56"/>
          <w:szCs w:val="56"/>
        </w:rPr>
        <w:t xml:space="preserve"> ]</w:t>
      </w:r>
    </w:p>
    <w:p w:rsidR="00E963C7" w:rsidRPr="001B29D4" w:rsidRDefault="00E2775E" w:rsidP="00E2775E">
      <w:pPr>
        <w:pStyle w:val="NoSpacing"/>
        <w:jc w:val="center"/>
        <w:rPr>
          <w:b/>
          <w:sz w:val="56"/>
          <w:szCs w:val="56"/>
        </w:rPr>
      </w:pPr>
      <w:r>
        <w:rPr>
          <w:b/>
          <w:sz w:val="56"/>
          <w:szCs w:val="56"/>
        </w:rPr>
        <w:t xml:space="preserve">COMMERCIAL </w:t>
      </w:r>
      <w:r w:rsidR="00E963C7" w:rsidRPr="001B29D4">
        <w:rPr>
          <w:b/>
          <w:sz w:val="56"/>
          <w:szCs w:val="56"/>
        </w:rPr>
        <w:t>CONSTRUCTION</w:t>
      </w:r>
    </w:p>
    <w:p w:rsidR="00E963C7" w:rsidRPr="001B29D4" w:rsidRDefault="00E963C7" w:rsidP="00E963C7">
      <w:pPr>
        <w:pStyle w:val="NoSpacing"/>
        <w:jc w:val="center"/>
        <w:rPr>
          <w:b/>
          <w:sz w:val="56"/>
          <w:szCs w:val="56"/>
        </w:rPr>
      </w:pPr>
      <w:r w:rsidRPr="001B29D4">
        <w:rPr>
          <w:b/>
          <w:sz w:val="56"/>
          <w:szCs w:val="56"/>
        </w:rPr>
        <w:t>GUIDE SPECIFICATION</w:t>
      </w:r>
    </w:p>
    <w:p w:rsidR="00E963C7" w:rsidRPr="00F1656A" w:rsidRDefault="00E963C7" w:rsidP="00E963C7">
      <w:pPr>
        <w:pStyle w:val="NoSpacing"/>
        <w:jc w:val="center"/>
        <w:rPr>
          <w:sz w:val="10"/>
          <w:szCs w:val="10"/>
        </w:rPr>
      </w:pPr>
    </w:p>
    <w:p w:rsidR="00E963C7" w:rsidRDefault="00E963C7" w:rsidP="00E963C7">
      <w:pPr>
        <w:pStyle w:val="NoSpacing"/>
        <w:jc w:val="both"/>
      </w:pPr>
      <w:r>
        <w:t xml:space="preserve">This construction specification utilizes Construction </w:t>
      </w:r>
      <w:r w:rsidR="001B44A2">
        <w:t>Specifiers</w:t>
      </w:r>
      <w:r>
        <w:t xml:space="preserve"> Institute (CSI) format.  The specificat</w:t>
      </w:r>
      <w:r w:rsidR="003F0427">
        <w:t>ion is specific to SES Foam LLC Nexseal™ 2l0</w:t>
      </w:r>
      <w:r w:rsidR="001B44A2">
        <w:t xml:space="preserve"> spray polyurethane foam insulation </w:t>
      </w:r>
      <w:r>
        <w:t>product specifications and is designed to be used by professionals as a guide specification.</w:t>
      </w:r>
      <w:r w:rsidR="009309B7">
        <w:t xml:space="preserve">  This specification should be adopted for each project.  </w:t>
      </w:r>
    </w:p>
    <w:p w:rsidR="00E963C7" w:rsidRDefault="00E963C7" w:rsidP="00E963C7">
      <w:pPr>
        <w:pStyle w:val="NoSpacing"/>
        <w:jc w:val="center"/>
      </w:pPr>
    </w:p>
    <w:p w:rsidR="00E963C7" w:rsidRPr="000A4EDB" w:rsidRDefault="00415507" w:rsidP="009C611E">
      <w:pPr>
        <w:pStyle w:val="NoSpacing"/>
        <w:jc w:val="both"/>
        <w:rPr>
          <w:b/>
        </w:rPr>
      </w:pPr>
      <w:r>
        <w:rPr>
          <w:b/>
        </w:rPr>
        <w:t xml:space="preserve">USGBC </w:t>
      </w:r>
      <w:r w:rsidR="009C611E" w:rsidRPr="000A4EDB">
        <w:rPr>
          <w:b/>
        </w:rPr>
        <w:t>Leadership in Energy</w:t>
      </w:r>
      <w:r w:rsidR="00BD4CFE" w:rsidRPr="000A4EDB">
        <w:rPr>
          <w:b/>
        </w:rPr>
        <w:t xml:space="preserve"> </w:t>
      </w:r>
      <w:r w:rsidR="00512EE1">
        <w:rPr>
          <w:b/>
        </w:rPr>
        <w:t>and Environmental</w:t>
      </w:r>
      <w:r w:rsidR="00BD4CFE" w:rsidRPr="000A4EDB">
        <w:rPr>
          <w:b/>
        </w:rPr>
        <w:t xml:space="preserve"> Design (LEED) Point Contributions</w:t>
      </w:r>
      <w:r w:rsidR="009C611E" w:rsidRPr="000A4EDB">
        <w:rPr>
          <w:b/>
        </w:rPr>
        <w:t>:</w:t>
      </w:r>
    </w:p>
    <w:p w:rsidR="009C611E" w:rsidRDefault="009C611E" w:rsidP="009C611E">
      <w:pPr>
        <w:pStyle w:val="NoSpacing"/>
        <w:jc w:val="both"/>
      </w:pPr>
    </w:p>
    <w:tbl>
      <w:tblPr>
        <w:tblStyle w:val="TableGrid"/>
        <w:tblW w:w="0" w:type="auto"/>
        <w:jc w:val="center"/>
        <w:tblLook w:val="04A0" w:firstRow="1" w:lastRow="0" w:firstColumn="1" w:lastColumn="0" w:noHBand="0" w:noVBand="1"/>
      </w:tblPr>
      <w:tblGrid>
        <w:gridCol w:w="3348"/>
        <w:gridCol w:w="3380"/>
        <w:gridCol w:w="3342"/>
      </w:tblGrid>
      <w:tr w:rsidR="00BD4CFE" w:rsidRPr="008D26BF" w:rsidTr="000A4EDB">
        <w:trPr>
          <w:jc w:val="center"/>
        </w:trPr>
        <w:tc>
          <w:tcPr>
            <w:tcW w:w="3672" w:type="dxa"/>
            <w:vAlign w:val="center"/>
          </w:tcPr>
          <w:p w:rsidR="00BD4CFE" w:rsidRPr="000A4EDB" w:rsidRDefault="00BD4CFE" w:rsidP="000A4EDB">
            <w:pPr>
              <w:pStyle w:val="NoSpacing"/>
              <w:rPr>
                <w:b/>
                <w:sz w:val="20"/>
                <w:szCs w:val="20"/>
              </w:rPr>
            </w:pPr>
            <w:r w:rsidRPr="000A4EDB">
              <w:rPr>
                <w:b/>
                <w:sz w:val="20"/>
                <w:szCs w:val="20"/>
              </w:rPr>
              <w:t>New Construction</w:t>
            </w:r>
          </w:p>
        </w:tc>
        <w:tc>
          <w:tcPr>
            <w:tcW w:w="3672" w:type="dxa"/>
            <w:vAlign w:val="center"/>
          </w:tcPr>
          <w:p w:rsidR="00BD4CFE" w:rsidRPr="000A4EDB" w:rsidRDefault="00BD4CFE" w:rsidP="000A4EDB">
            <w:pPr>
              <w:pStyle w:val="NoSpacing"/>
              <w:rPr>
                <w:b/>
                <w:sz w:val="20"/>
                <w:szCs w:val="20"/>
              </w:rPr>
            </w:pPr>
            <w:r w:rsidRPr="000A4EDB">
              <w:rPr>
                <w:b/>
                <w:sz w:val="20"/>
                <w:szCs w:val="20"/>
              </w:rPr>
              <w:t>Homes</w:t>
            </w:r>
          </w:p>
        </w:tc>
        <w:tc>
          <w:tcPr>
            <w:tcW w:w="3672" w:type="dxa"/>
            <w:vAlign w:val="center"/>
          </w:tcPr>
          <w:p w:rsidR="00BD4CFE" w:rsidRPr="000A4EDB" w:rsidRDefault="00BD4CFE" w:rsidP="000A4EDB">
            <w:pPr>
              <w:pStyle w:val="NoSpacing"/>
              <w:rPr>
                <w:b/>
                <w:sz w:val="20"/>
                <w:szCs w:val="20"/>
              </w:rPr>
            </w:pPr>
            <w:r w:rsidRPr="000A4EDB">
              <w:rPr>
                <w:b/>
                <w:sz w:val="20"/>
                <w:szCs w:val="20"/>
              </w:rPr>
              <w:t>Schools</w:t>
            </w:r>
          </w:p>
        </w:tc>
      </w:tr>
      <w:tr w:rsidR="00BD4CFE" w:rsidRPr="008D26BF" w:rsidTr="000A4EDB">
        <w:trPr>
          <w:jc w:val="center"/>
        </w:trPr>
        <w:tc>
          <w:tcPr>
            <w:tcW w:w="3672" w:type="dxa"/>
            <w:vAlign w:val="center"/>
          </w:tcPr>
          <w:p w:rsidR="00BD4CFE" w:rsidRPr="000A4EDB" w:rsidRDefault="00BD4CFE" w:rsidP="000A4EDB">
            <w:pPr>
              <w:pStyle w:val="NoSpacing"/>
              <w:rPr>
                <w:sz w:val="20"/>
                <w:szCs w:val="20"/>
              </w:rPr>
            </w:pPr>
            <w:r w:rsidRPr="000A4EDB">
              <w:rPr>
                <w:sz w:val="20"/>
                <w:szCs w:val="20"/>
              </w:rPr>
              <w:t>EA Credit 1: Optimize Energy Performance</w:t>
            </w:r>
          </w:p>
        </w:tc>
        <w:tc>
          <w:tcPr>
            <w:tcW w:w="3672" w:type="dxa"/>
            <w:vAlign w:val="center"/>
          </w:tcPr>
          <w:p w:rsidR="00BD4CFE" w:rsidRPr="000A4EDB" w:rsidRDefault="00BD4CFE" w:rsidP="000A4EDB">
            <w:pPr>
              <w:pStyle w:val="NoSpacing"/>
              <w:rPr>
                <w:sz w:val="20"/>
                <w:szCs w:val="20"/>
              </w:rPr>
            </w:pPr>
            <w:r w:rsidRPr="000A4EDB">
              <w:rPr>
                <w:sz w:val="20"/>
                <w:szCs w:val="20"/>
              </w:rPr>
              <w:t>EA Credit 1.1: Performance of ENERGY STAR Homes (or EA 2-10 Pathway)</w:t>
            </w:r>
          </w:p>
        </w:tc>
        <w:tc>
          <w:tcPr>
            <w:tcW w:w="3672" w:type="dxa"/>
            <w:vAlign w:val="center"/>
          </w:tcPr>
          <w:p w:rsidR="00BD4CFE" w:rsidRPr="000A4EDB" w:rsidRDefault="00415507" w:rsidP="000A4EDB">
            <w:pPr>
              <w:pStyle w:val="NoSpacing"/>
              <w:rPr>
                <w:sz w:val="20"/>
                <w:szCs w:val="20"/>
              </w:rPr>
            </w:pPr>
            <w:r>
              <w:rPr>
                <w:sz w:val="20"/>
                <w:szCs w:val="20"/>
              </w:rPr>
              <w:t>EA Credit Prerequisite 2: Minimum Energy Performance</w:t>
            </w:r>
          </w:p>
        </w:tc>
      </w:tr>
      <w:tr w:rsidR="00BD4CFE" w:rsidRPr="008D26BF" w:rsidTr="000A4EDB">
        <w:trPr>
          <w:jc w:val="center"/>
        </w:trPr>
        <w:tc>
          <w:tcPr>
            <w:tcW w:w="3672" w:type="dxa"/>
            <w:vAlign w:val="center"/>
          </w:tcPr>
          <w:p w:rsidR="00BD4CFE" w:rsidRPr="000A4EDB" w:rsidRDefault="00BD4CFE" w:rsidP="000A4EDB">
            <w:pPr>
              <w:pStyle w:val="NoSpacing"/>
              <w:rPr>
                <w:sz w:val="20"/>
                <w:szCs w:val="20"/>
              </w:rPr>
            </w:pPr>
            <w:r w:rsidRPr="000A4EDB">
              <w:rPr>
                <w:sz w:val="20"/>
                <w:szCs w:val="20"/>
              </w:rPr>
              <w:t>MR Credit 2: Construction Waste Management</w:t>
            </w:r>
          </w:p>
        </w:tc>
        <w:tc>
          <w:tcPr>
            <w:tcW w:w="3672" w:type="dxa"/>
            <w:vAlign w:val="center"/>
          </w:tcPr>
          <w:p w:rsidR="00BD4CFE" w:rsidRPr="000A4EDB" w:rsidRDefault="008D26BF" w:rsidP="000A4EDB">
            <w:pPr>
              <w:pStyle w:val="NoSpacing"/>
              <w:rPr>
                <w:sz w:val="20"/>
                <w:szCs w:val="20"/>
              </w:rPr>
            </w:pPr>
            <w:r w:rsidRPr="000A4EDB">
              <w:rPr>
                <w:sz w:val="20"/>
                <w:szCs w:val="20"/>
              </w:rPr>
              <w:t>EA Credit 2.1: Basic Insulation</w:t>
            </w:r>
          </w:p>
        </w:tc>
        <w:tc>
          <w:tcPr>
            <w:tcW w:w="3672" w:type="dxa"/>
            <w:vAlign w:val="center"/>
          </w:tcPr>
          <w:p w:rsidR="00BD4CFE" w:rsidRPr="000A4EDB" w:rsidRDefault="00415507" w:rsidP="000A4EDB">
            <w:pPr>
              <w:pStyle w:val="NoSpacing"/>
              <w:rPr>
                <w:sz w:val="20"/>
                <w:szCs w:val="20"/>
              </w:rPr>
            </w:pPr>
            <w:r>
              <w:rPr>
                <w:sz w:val="20"/>
                <w:szCs w:val="20"/>
              </w:rPr>
              <w:t>EA Credit 1: Optimize Energy Performance</w:t>
            </w:r>
          </w:p>
        </w:tc>
      </w:tr>
      <w:tr w:rsidR="00BD4CFE" w:rsidRPr="008D26BF" w:rsidTr="000A4EDB">
        <w:trPr>
          <w:jc w:val="center"/>
        </w:trPr>
        <w:tc>
          <w:tcPr>
            <w:tcW w:w="3672" w:type="dxa"/>
            <w:vAlign w:val="center"/>
          </w:tcPr>
          <w:p w:rsidR="00BD4CFE" w:rsidRPr="000A4EDB" w:rsidRDefault="00BD4CFE" w:rsidP="000A4EDB">
            <w:pPr>
              <w:pStyle w:val="NoSpacing"/>
              <w:rPr>
                <w:sz w:val="20"/>
                <w:szCs w:val="20"/>
              </w:rPr>
            </w:pPr>
            <w:r w:rsidRPr="000A4EDB">
              <w:rPr>
                <w:sz w:val="20"/>
                <w:szCs w:val="20"/>
              </w:rPr>
              <w:t>MR Credit 5: Regional Materials</w:t>
            </w:r>
          </w:p>
        </w:tc>
        <w:tc>
          <w:tcPr>
            <w:tcW w:w="3672" w:type="dxa"/>
            <w:vAlign w:val="center"/>
          </w:tcPr>
          <w:p w:rsidR="00BD4CFE" w:rsidRPr="000A4EDB" w:rsidRDefault="008D26BF" w:rsidP="000A4EDB">
            <w:pPr>
              <w:pStyle w:val="NoSpacing"/>
              <w:rPr>
                <w:sz w:val="20"/>
                <w:szCs w:val="20"/>
              </w:rPr>
            </w:pPr>
            <w:r w:rsidRPr="000A4EDB">
              <w:rPr>
                <w:sz w:val="20"/>
                <w:szCs w:val="20"/>
              </w:rPr>
              <w:t>EA Credit 3: Air Infiltration</w:t>
            </w:r>
          </w:p>
        </w:tc>
        <w:tc>
          <w:tcPr>
            <w:tcW w:w="3672" w:type="dxa"/>
            <w:vAlign w:val="center"/>
          </w:tcPr>
          <w:p w:rsidR="00BD4CFE" w:rsidRPr="000A4EDB" w:rsidRDefault="00415507" w:rsidP="000A4EDB">
            <w:pPr>
              <w:pStyle w:val="NoSpacing"/>
              <w:rPr>
                <w:sz w:val="20"/>
                <w:szCs w:val="20"/>
              </w:rPr>
            </w:pPr>
            <w:r>
              <w:rPr>
                <w:sz w:val="20"/>
                <w:szCs w:val="20"/>
              </w:rPr>
              <w:t>MR Credit 5: Regional Materials</w:t>
            </w:r>
          </w:p>
        </w:tc>
      </w:tr>
      <w:tr w:rsidR="00BD4CFE" w:rsidRPr="008D26BF" w:rsidTr="000A4EDB">
        <w:trPr>
          <w:jc w:val="center"/>
        </w:trPr>
        <w:tc>
          <w:tcPr>
            <w:tcW w:w="3672" w:type="dxa"/>
            <w:vAlign w:val="center"/>
          </w:tcPr>
          <w:p w:rsidR="00BD4CFE" w:rsidRPr="000A4EDB" w:rsidRDefault="00BD4CFE" w:rsidP="000A4EDB">
            <w:pPr>
              <w:pStyle w:val="NoSpacing"/>
              <w:rPr>
                <w:sz w:val="20"/>
                <w:szCs w:val="20"/>
              </w:rPr>
            </w:pPr>
            <w:r w:rsidRPr="000A4EDB">
              <w:rPr>
                <w:sz w:val="20"/>
                <w:szCs w:val="20"/>
              </w:rPr>
              <w:t>IEQ Credit 7.1: Thermal Comfort</w:t>
            </w:r>
          </w:p>
        </w:tc>
        <w:tc>
          <w:tcPr>
            <w:tcW w:w="3672" w:type="dxa"/>
            <w:vAlign w:val="center"/>
          </w:tcPr>
          <w:p w:rsidR="00BD4CFE" w:rsidRPr="000A4EDB" w:rsidRDefault="008D26BF" w:rsidP="000A4EDB">
            <w:pPr>
              <w:pStyle w:val="NoSpacing"/>
              <w:rPr>
                <w:sz w:val="20"/>
                <w:szCs w:val="20"/>
              </w:rPr>
            </w:pPr>
            <w:r w:rsidRPr="000A4EDB">
              <w:rPr>
                <w:sz w:val="20"/>
                <w:szCs w:val="20"/>
              </w:rPr>
              <w:t>EA Credits 5.1 &amp; 5.2: Heating &amp; Cooling distribution system</w:t>
            </w:r>
          </w:p>
        </w:tc>
        <w:tc>
          <w:tcPr>
            <w:tcW w:w="3672" w:type="dxa"/>
            <w:vAlign w:val="center"/>
          </w:tcPr>
          <w:p w:rsidR="00BD4CFE" w:rsidRPr="000A4EDB" w:rsidRDefault="00415507" w:rsidP="000A4EDB">
            <w:pPr>
              <w:pStyle w:val="NoSpacing"/>
              <w:rPr>
                <w:sz w:val="20"/>
                <w:szCs w:val="20"/>
              </w:rPr>
            </w:pPr>
            <w:r>
              <w:rPr>
                <w:sz w:val="20"/>
                <w:szCs w:val="20"/>
              </w:rPr>
              <w:t>IEQ Credit 4: Low Emitting Materials</w:t>
            </w:r>
          </w:p>
        </w:tc>
      </w:tr>
      <w:tr w:rsidR="00BD4CFE" w:rsidRPr="008D26BF" w:rsidTr="000A4EDB">
        <w:trPr>
          <w:jc w:val="center"/>
        </w:trPr>
        <w:tc>
          <w:tcPr>
            <w:tcW w:w="3672" w:type="dxa"/>
            <w:vAlign w:val="center"/>
          </w:tcPr>
          <w:p w:rsidR="00BD4CFE" w:rsidRPr="000A4EDB" w:rsidRDefault="00BD4CFE" w:rsidP="000A4EDB">
            <w:pPr>
              <w:pStyle w:val="NoSpacing"/>
              <w:rPr>
                <w:sz w:val="20"/>
                <w:szCs w:val="20"/>
              </w:rPr>
            </w:pPr>
            <w:r w:rsidRPr="000A4EDB">
              <w:rPr>
                <w:sz w:val="20"/>
                <w:szCs w:val="20"/>
              </w:rPr>
              <w:t>ID Credit 1: Innovation in Design</w:t>
            </w:r>
          </w:p>
        </w:tc>
        <w:tc>
          <w:tcPr>
            <w:tcW w:w="3672" w:type="dxa"/>
            <w:vAlign w:val="center"/>
          </w:tcPr>
          <w:p w:rsidR="00BD4CFE" w:rsidRPr="000A4EDB" w:rsidRDefault="008D26BF" w:rsidP="000A4EDB">
            <w:pPr>
              <w:pStyle w:val="NoSpacing"/>
              <w:rPr>
                <w:sz w:val="20"/>
                <w:szCs w:val="20"/>
              </w:rPr>
            </w:pPr>
            <w:r w:rsidRPr="000A4EDB">
              <w:rPr>
                <w:sz w:val="20"/>
                <w:szCs w:val="20"/>
              </w:rPr>
              <w:t>MR Credit 2.2: Environmentally Preferable Products</w:t>
            </w:r>
          </w:p>
        </w:tc>
        <w:tc>
          <w:tcPr>
            <w:tcW w:w="3672" w:type="dxa"/>
            <w:vAlign w:val="center"/>
          </w:tcPr>
          <w:p w:rsidR="00BD4CFE" w:rsidRPr="000A4EDB" w:rsidRDefault="00415507" w:rsidP="000A4EDB">
            <w:pPr>
              <w:pStyle w:val="NoSpacing"/>
              <w:rPr>
                <w:sz w:val="20"/>
                <w:szCs w:val="20"/>
              </w:rPr>
            </w:pPr>
            <w:r>
              <w:rPr>
                <w:sz w:val="20"/>
                <w:szCs w:val="20"/>
              </w:rPr>
              <w:t>IEQ Credit 7.1: Thermal Comfort – Design</w:t>
            </w:r>
          </w:p>
        </w:tc>
      </w:tr>
      <w:tr w:rsidR="00BD4CFE" w:rsidRPr="008D26BF" w:rsidTr="000A4EDB">
        <w:trPr>
          <w:jc w:val="center"/>
        </w:trPr>
        <w:tc>
          <w:tcPr>
            <w:tcW w:w="3672" w:type="dxa"/>
            <w:vAlign w:val="center"/>
          </w:tcPr>
          <w:p w:rsidR="00BD4CFE" w:rsidRPr="000A4EDB" w:rsidRDefault="00BD4CFE" w:rsidP="000A4EDB">
            <w:pPr>
              <w:pStyle w:val="NoSpacing"/>
              <w:rPr>
                <w:sz w:val="20"/>
                <w:szCs w:val="20"/>
              </w:rPr>
            </w:pPr>
          </w:p>
        </w:tc>
        <w:tc>
          <w:tcPr>
            <w:tcW w:w="3672" w:type="dxa"/>
            <w:vAlign w:val="center"/>
          </w:tcPr>
          <w:p w:rsidR="00BD4CFE" w:rsidRPr="000A4EDB" w:rsidRDefault="008D26BF" w:rsidP="000A4EDB">
            <w:pPr>
              <w:pStyle w:val="NoSpacing"/>
              <w:rPr>
                <w:sz w:val="20"/>
                <w:szCs w:val="20"/>
              </w:rPr>
            </w:pPr>
            <w:r w:rsidRPr="000A4EDB">
              <w:rPr>
                <w:sz w:val="20"/>
                <w:szCs w:val="20"/>
              </w:rPr>
              <w:t>MR Credit 3.2: Construction Waste Reduction</w:t>
            </w:r>
          </w:p>
        </w:tc>
        <w:tc>
          <w:tcPr>
            <w:tcW w:w="3672" w:type="dxa"/>
            <w:vAlign w:val="center"/>
          </w:tcPr>
          <w:p w:rsidR="00BD4CFE" w:rsidRPr="000A4EDB" w:rsidRDefault="00415507" w:rsidP="000A4EDB">
            <w:pPr>
              <w:pStyle w:val="NoSpacing"/>
              <w:rPr>
                <w:sz w:val="20"/>
                <w:szCs w:val="20"/>
              </w:rPr>
            </w:pPr>
            <w:r>
              <w:rPr>
                <w:sz w:val="20"/>
                <w:szCs w:val="20"/>
              </w:rPr>
              <w:t>IEQ Credit 9: Enhanced Acoustical Performance</w:t>
            </w:r>
          </w:p>
        </w:tc>
      </w:tr>
      <w:tr w:rsidR="008D26BF" w:rsidRPr="008D26BF" w:rsidTr="000A4EDB">
        <w:trPr>
          <w:jc w:val="center"/>
        </w:trPr>
        <w:tc>
          <w:tcPr>
            <w:tcW w:w="3672" w:type="dxa"/>
            <w:vAlign w:val="center"/>
          </w:tcPr>
          <w:p w:rsidR="008D26BF" w:rsidRPr="000A4EDB" w:rsidRDefault="008D26BF" w:rsidP="000A4EDB">
            <w:pPr>
              <w:pStyle w:val="NoSpacing"/>
              <w:rPr>
                <w:sz w:val="20"/>
                <w:szCs w:val="20"/>
              </w:rPr>
            </w:pPr>
          </w:p>
        </w:tc>
        <w:tc>
          <w:tcPr>
            <w:tcW w:w="3672" w:type="dxa"/>
            <w:vAlign w:val="center"/>
          </w:tcPr>
          <w:p w:rsidR="008D26BF" w:rsidRPr="000A4EDB" w:rsidRDefault="00F17510" w:rsidP="000A4EDB">
            <w:pPr>
              <w:pStyle w:val="NoSpacing"/>
              <w:rPr>
                <w:sz w:val="20"/>
                <w:szCs w:val="20"/>
              </w:rPr>
            </w:pPr>
            <w:r>
              <w:rPr>
                <w:sz w:val="20"/>
                <w:szCs w:val="20"/>
              </w:rPr>
              <w:t>EQ Credit 1: ENERGYSTAR with Indoor Air Package Pathway</w:t>
            </w:r>
          </w:p>
        </w:tc>
        <w:tc>
          <w:tcPr>
            <w:tcW w:w="3672" w:type="dxa"/>
            <w:vAlign w:val="center"/>
          </w:tcPr>
          <w:p w:rsidR="008D26BF" w:rsidRPr="000A4EDB" w:rsidRDefault="00415507" w:rsidP="000A4EDB">
            <w:pPr>
              <w:pStyle w:val="NoSpacing"/>
              <w:rPr>
                <w:sz w:val="20"/>
                <w:szCs w:val="20"/>
              </w:rPr>
            </w:pPr>
            <w:r>
              <w:rPr>
                <w:sz w:val="20"/>
                <w:szCs w:val="20"/>
              </w:rPr>
              <w:t>IEQ</w:t>
            </w:r>
            <w:r w:rsidR="0067411E">
              <w:rPr>
                <w:sz w:val="20"/>
                <w:szCs w:val="20"/>
              </w:rPr>
              <w:t xml:space="preserve"> Credit 10: Mold Prevention</w:t>
            </w:r>
          </w:p>
        </w:tc>
      </w:tr>
      <w:tr w:rsidR="008D26BF" w:rsidRPr="008D26BF" w:rsidTr="000A4EDB">
        <w:trPr>
          <w:jc w:val="center"/>
        </w:trPr>
        <w:tc>
          <w:tcPr>
            <w:tcW w:w="3672" w:type="dxa"/>
            <w:vAlign w:val="center"/>
          </w:tcPr>
          <w:p w:rsidR="008D26BF" w:rsidRPr="000A4EDB" w:rsidRDefault="008D26BF" w:rsidP="000A4EDB">
            <w:pPr>
              <w:pStyle w:val="NoSpacing"/>
              <w:rPr>
                <w:sz w:val="20"/>
                <w:szCs w:val="20"/>
              </w:rPr>
            </w:pPr>
          </w:p>
        </w:tc>
        <w:tc>
          <w:tcPr>
            <w:tcW w:w="3672" w:type="dxa"/>
            <w:vAlign w:val="center"/>
          </w:tcPr>
          <w:p w:rsidR="008D26BF" w:rsidRPr="000A4EDB" w:rsidRDefault="00F17510" w:rsidP="000A4EDB">
            <w:pPr>
              <w:pStyle w:val="NoSpacing"/>
              <w:rPr>
                <w:sz w:val="20"/>
                <w:szCs w:val="20"/>
              </w:rPr>
            </w:pPr>
            <w:r>
              <w:rPr>
                <w:sz w:val="20"/>
                <w:szCs w:val="20"/>
              </w:rPr>
              <w:t>EQ Credit 10: Garage Pollutant Protection</w:t>
            </w:r>
          </w:p>
        </w:tc>
        <w:tc>
          <w:tcPr>
            <w:tcW w:w="3672" w:type="dxa"/>
            <w:vAlign w:val="center"/>
          </w:tcPr>
          <w:p w:rsidR="008D26BF" w:rsidRPr="000A4EDB" w:rsidRDefault="0067411E" w:rsidP="000A4EDB">
            <w:pPr>
              <w:pStyle w:val="NoSpacing"/>
              <w:rPr>
                <w:sz w:val="20"/>
                <w:szCs w:val="20"/>
              </w:rPr>
            </w:pPr>
            <w:r>
              <w:rPr>
                <w:sz w:val="20"/>
                <w:szCs w:val="20"/>
              </w:rPr>
              <w:t>ID Credit 1: Innovation in Design</w:t>
            </w:r>
          </w:p>
        </w:tc>
      </w:tr>
    </w:tbl>
    <w:p w:rsidR="00F1656A" w:rsidRDefault="00F1656A" w:rsidP="009C611E">
      <w:pPr>
        <w:pStyle w:val="NoSpacing"/>
        <w:jc w:val="right"/>
      </w:pPr>
    </w:p>
    <w:p w:rsidR="00E963C7" w:rsidRDefault="0079688B" w:rsidP="009C611E">
      <w:pPr>
        <w:pStyle w:val="NoSpacing"/>
        <w:jc w:val="right"/>
      </w:pPr>
      <w:r>
        <w:rPr>
          <w:rFonts w:ascii="Arial" w:hAnsi="Arial" w:cs="Arial"/>
          <w:noProof/>
          <w:color w:val="0000FF"/>
        </w:rPr>
        <w:drawing>
          <wp:anchor distT="0" distB="0" distL="114300" distR="114300" simplePos="0" relativeHeight="251664384" behindDoc="0" locked="0" layoutInCell="1" allowOverlap="1" wp14:anchorId="5D5BD1AB" wp14:editId="26877E44">
            <wp:simplePos x="0" y="0"/>
            <wp:positionH relativeFrom="column">
              <wp:posOffset>-76200</wp:posOffset>
            </wp:positionH>
            <wp:positionV relativeFrom="paragraph">
              <wp:posOffset>178435</wp:posOffset>
            </wp:positionV>
            <wp:extent cx="1804670" cy="752732"/>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s_logo_14070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670" cy="752732"/>
                    </a:xfrm>
                    <a:prstGeom prst="rect">
                      <a:avLst/>
                    </a:prstGeom>
                  </pic:spPr>
                </pic:pic>
              </a:graphicData>
            </a:graphic>
            <wp14:sizeRelH relativeFrom="page">
              <wp14:pctWidth>0</wp14:pctWidth>
            </wp14:sizeRelH>
            <wp14:sizeRelV relativeFrom="page">
              <wp14:pctHeight>0</wp14:pctHeight>
            </wp14:sizeRelV>
          </wp:anchor>
        </w:drawing>
      </w:r>
      <w:r w:rsidR="00563CBF">
        <w:t>S</w:t>
      </w:r>
      <w:r w:rsidR="00E963C7">
        <w:t>ES FOAM LLC</w:t>
      </w:r>
    </w:p>
    <w:p w:rsidR="009C611E" w:rsidRDefault="001B29D4" w:rsidP="009C611E">
      <w:pPr>
        <w:pStyle w:val="NoSpacing"/>
        <w:jc w:val="right"/>
      </w:pPr>
      <w:r>
        <w:rPr>
          <w:rFonts w:ascii="Arial" w:hAnsi="Arial" w:cs="Arial"/>
          <w:noProof/>
          <w:color w:val="0000FF"/>
        </w:rPr>
        <w:drawing>
          <wp:anchor distT="0" distB="0" distL="114300" distR="114300" simplePos="0" relativeHeight="251661312" behindDoc="0" locked="0" layoutInCell="1" allowOverlap="1" wp14:anchorId="4C7C79A7" wp14:editId="5E53D14F">
            <wp:simplePos x="0" y="0"/>
            <wp:positionH relativeFrom="column">
              <wp:posOffset>1988820</wp:posOffset>
            </wp:positionH>
            <wp:positionV relativeFrom="paragraph">
              <wp:posOffset>26035</wp:posOffset>
            </wp:positionV>
            <wp:extent cx="746760" cy="746760"/>
            <wp:effectExtent l="0" t="0" r="0" b="0"/>
            <wp:wrapNone/>
            <wp:docPr id="5" name="Picture 5" descr="https://encrypted-tbn2.gstatic.com/images?q=tbn:ANd9GcRTE3mGPsoz5VChgowaNJiD5Dh8CJfYOAg2hz1IbYqpPf8nEOS_x-XVYfc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TE3mGPsoz5VChgowaNJiD5Dh8CJfYOAg2hz1IbYqpPf8nEOS_x-XVYfci">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E0D471F" wp14:editId="5E6E5D95">
            <wp:simplePos x="0" y="0"/>
            <wp:positionH relativeFrom="column">
              <wp:posOffset>2895600</wp:posOffset>
            </wp:positionH>
            <wp:positionV relativeFrom="paragraph">
              <wp:posOffset>59055</wp:posOffset>
            </wp:positionV>
            <wp:extent cx="1858010" cy="701040"/>
            <wp:effectExtent l="0" t="0" r="8890" b="3810"/>
            <wp:wrapNone/>
            <wp:docPr id="7" name="Picture 7" descr="C:\Users\Andrea\Documents\EnergyStar\ES_INSUL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Documents\EnergyStar\ES_INSUL_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801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9B7">
        <w:t>4</w:t>
      </w:r>
      <w:r w:rsidR="009C611E">
        <w:t>008 Louetta Road #538</w:t>
      </w:r>
    </w:p>
    <w:p w:rsidR="009C611E" w:rsidRDefault="009C611E" w:rsidP="009C611E">
      <w:pPr>
        <w:pStyle w:val="NoSpacing"/>
        <w:jc w:val="right"/>
      </w:pPr>
      <w:r>
        <w:t>Spring, Texas 77388</w:t>
      </w:r>
    </w:p>
    <w:p w:rsidR="00BD4CFE" w:rsidRDefault="001B29D4" w:rsidP="00BD4CFE">
      <w:pPr>
        <w:pStyle w:val="NoSpacing"/>
        <w:jc w:val="right"/>
      </w:pPr>
      <w:r>
        <w:t>Tel: +</w:t>
      </w:r>
      <w:r w:rsidR="009C611E">
        <w:t>713-239-0252</w:t>
      </w:r>
    </w:p>
    <w:p w:rsidR="001B29D4" w:rsidRDefault="001B29D4" w:rsidP="00BD4CFE">
      <w:pPr>
        <w:pStyle w:val="NoSpacing"/>
        <w:jc w:val="right"/>
      </w:pPr>
      <w:r>
        <w:t>Fax: +281-767-5013</w:t>
      </w:r>
    </w:p>
    <w:p w:rsidR="00912915" w:rsidRDefault="00D44D5D" w:rsidP="00BD4CFE">
      <w:pPr>
        <w:pStyle w:val="NoSpacing"/>
        <w:jc w:val="right"/>
      </w:pPr>
      <w:hyperlink r:id="rId12" w:history="1">
        <w:r w:rsidR="00F1656A" w:rsidRPr="0088298D">
          <w:rPr>
            <w:rStyle w:val="Hyperlink"/>
          </w:rPr>
          <w:t>www.sesfoam.com</w:t>
        </w:r>
      </w:hyperlink>
    </w:p>
    <w:p w:rsidR="00F1656A" w:rsidRPr="00F1656A" w:rsidRDefault="00F1656A" w:rsidP="00BD4CFE">
      <w:pPr>
        <w:pStyle w:val="NoSpacing"/>
        <w:jc w:val="right"/>
        <w:rPr>
          <w:sz w:val="10"/>
          <w:szCs w:val="10"/>
        </w:rPr>
      </w:pPr>
    </w:p>
    <w:p w:rsidR="00F17510" w:rsidRDefault="00912915" w:rsidP="00BD4CFE">
      <w:pPr>
        <w:pStyle w:val="NoSpacing"/>
        <w:jc w:val="right"/>
      </w:pPr>
      <w:r>
        <w:rPr>
          <w:b/>
          <w:noProof/>
        </w:rPr>
        <mc:AlternateContent>
          <mc:Choice Requires="wps">
            <w:drawing>
              <wp:anchor distT="0" distB="0" distL="114300" distR="114300" simplePos="0" relativeHeight="251659264" behindDoc="0" locked="0" layoutInCell="1" allowOverlap="1" wp14:anchorId="6FC1F94D" wp14:editId="7F860012">
                <wp:simplePos x="0" y="0"/>
                <wp:positionH relativeFrom="column">
                  <wp:posOffset>-379095</wp:posOffset>
                </wp:positionH>
                <wp:positionV relativeFrom="paragraph">
                  <wp:posOffset>113030</wp:posOffset>
                </wp:positionV>
                <wp:extent cx="7239000" cy="1120140"/>
                <wp:effectExtent l="0" t="0" r="19050" b="22860"/>
                <wp:wrapNone/>
                <wp:docPr id="24" name="Text Box 24"/>
                <wp:cNvGraphicFramePr/>
                <a:graphic xmlns:a="http://schemas.openxmlformats.org/drawingml/2006/main">
                  <a:graphicData uri="http://schemas.microsoft.com/office/word/2010/wordprocessingShape">
                    <wps:wsp>
                      <wps:cNvSpPr txBox="1"/>
                      <wps:spPr>
                        <a:xfrm>
                          <a:off x="0" y="0"/>
                          <a:ext cx="7239000" cy="1120140"/>
                        </a:xfrm>
                        <a:prstGeom prst="rect">
                          <a:avLst/>
                        </a:prstGeom>
                        <a:solidFill>
                          <a:sysClr val="window" lastClr="FFFFFF"/>
                        </a:solidFill>
                        <a:ln w="6350">
                          <a:solidFill>
                            <a:prstClr val="black"/>
                          </a:solidFill>
                        </a:ln>
                        <a:effectLst/>
                      </wps:spPr>
                      <wps:txbx>
                        <w:txbxContent>
                          <w:p w:rsidR="009C611E" w:rsidRPr="009533F6" w:rsidRDefault="009C611E" w:rsidP="009C611E">
                            <w:pPr>
                              <w:pStyle w:val="NoSpacing"/>
                              <w:jc w:val="both"/>
                              <w:rPr>
                                <w:sz w:val="18"/>
                                <w:szCs w:val="18"/>
                              </w:rPr>
                            </w:pPr>
                            <w:r w:rsidRPr="009533F6">
                              <w:rPr>
                                <w:sz w:val="18"/>
                                <w:szCs w:val="18"/>
                              </w:rPr>
                              <w:t>The descriptions, data, designs and information contained herein are presented in good faith and believed to be accurate.  This information is provided for guidance ONLY. Many factors will affect the processing or application of SES Foam LLC products, it is necessary that you make tests to determine ultimate suitability for SES Foam LLC products for your particular application.  No warranties of any kind, either expressed or implied, including warranties of merchantability or fitness for a particular purpose, are made regarding products described, data or designs presented.  In no case shall the descriptions, information, data or designs provided be considered a part of our terms and conditions of sale.  All information and technical assistance is given without warranty or guarantee and is subject to change without notice.  You expressly agree to release SES Foam LLC from all liability in tort or contract based on the technical information provided.  All such information is accepted at your own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1F94D" id="_x0000_t202" coordsize="21600,21600" o:spt="202" path="m,l,21600r21600,l21600,xe">
                <v:stroke joinstyle="miter"/>
                <v:path gradientshapeok="t" o:connecttype="rect"/>
              </v:shapetype>
              <v:shape id="Text Box 24" o:spid="_x0000_s1026" type="#_x0000_t202" style="position:absolute;left:0;text-align:left;margin-left:-29.85pt;margin-top:8.9pt;width:570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" fillcolor="window" strokeweight=".5pt">
                <v:textbox>
                  <w:txbxContent>
                    <w:p w:rsidR="009C611E" w:rsidRPr="009533F6" w:rsidRDefault="009C611E" w:rsidP="009C611E">
                      <w:pPr>
                        <w:pStyle w:val="NoSpacing"/>
                        <w:jc w:val="both"/>
                        <w:rPr>
                          <w:sz w:val="18"/>
                          <w:szCs w:val="18"/>
                        </w:rPr>
                      </w:pPr>
                      <w:r w:rsidRPr="009533F6">
                        <w:rPr>
                          <w:sz w:val="18"/>
                          <w:szCs w:val="18"/>
                        </w:rPr>
                        <w:t>The descriptions, data, designs and information contained herein are presented in good faith and believed to be accurate.  This information is provided for guidance ONLY. Many factors will affect the processing or application of SES Foam LLC products, it is necessary that you make tests to determine ultimate suitability for SES Foam LLC products for your particular application.  No warranties of any kind, either expressed or implied, including warranties of merchantability or fitness for a particular purpose, are made regarding products described, data or designs presented.  In no case shall the descriptions, information, data or designs provided be considered a part of our terms and conditions of sale.  All information and technical assistance is given without warranty or guarantee and is subject to change without notice.  You expressly agree to release SES Foam LLC from all liability in tort or contract based on the technical information provided.  All such information is accepted at your own risk.</w:t>
                      </w:r>
                    </w:p>
                  </w:txbxContent>
                </v:textbox>
              </v:shape>
            </w:pict>
          </mc:Fallback>
        </mc:AlternateContent>
      </w:r>
    </w:p>
    <w:p w:rsidR="00912915" w:rsidRDefault="00912915" w:rsidP="008D26BF">
      <w:pPr>
        <w:pStyle w:val="NoSpacing"/>
      </w:pPr>
    </w:p>
    <w:p w:rsidR="00912915" w:rsidRDefault="00912915" w:rsidP="008D26BF">
      <w:pPr>
        <w:pStyle w:val="NoSpacing"/>
      </w:pPr>
    </w:p>
    <w:p w:rsidR="004A511F" w:rsidRDefault="00B66B34">
      <w:pPr>
        <w:sectPr w:rsidR="004A511F" w:rsidSect="00712EC0">
          <w:footerReference w:type="default" r:id="rId13"/>
          <w:pgSz w:w="12240" w:h="15840"/>
          <w:pgMar w:top="1080" w:right="1080" w:bottom="810" w:left="1080" w:header="720" w:footer="546" w:gutter="0"/>
          <w:pgNumType w:start="1"/>
          <w:cols w:space="720"/>
          <w:docGrid w:linePitch="360"/>
        </w:sectPr>
      </w:pPr>
      <w:r>
        <w:rPr>
          <w:noProof/>
        </w:rPr>
        <mc:AlternateContent>
          <mc:Choice Requires="wps">
            <w:drawing>
              <wp:anchor distT="0" distB="0" distL="114300" distR="114300" simplePos="0" relativeHeight="251663360" behindDoc="0" locked="0" layoutInCell="1" allowOverlap="1">
                <wp:simplePos x="0" y="0"/>
                <wp:positionH relativeFrom="column">
                  <wp:posOffset>-205740</wp:posOffset>
                </wp:positionH>
                <wp:positionV relativeFrom="paragraph">
                  <wp:posOffset>772160</wp:posOffset>
                </wp:positionV>
                <wp:extent cx="6918960" cy="541020"/>
                <wp:effectExtent l="0" t="0" r="0" b="0"/>
                <wp:wrapNone/>
                <wp:docPr id="1" name="Rectangle 1"/>
                <wp:cNvGraphicFramePr/>
                <a:graphic xmlns:a="http://schemas.openxmlformats.org/drawingml/2006/main">
                  <a:graphicData uri="http://schemas.microsoft.com/office/word/2010/wordprocessingShape">
                    <wps:wsp>
                      <wps:cNvSpPr/>
                      <wps:spPr>
                        <a:xfrm>
                          <a:off x="0" y="0"/>
                          <a:ext cx="6918960" cy="541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1A3D9" id="Rectangle 1" o:spid="_x0000_s1026" style="position:absolute;margin-left:-16.2pt;margin-top:60.8pt;width:544.8pt;height:4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" fillcolor="white [3212]" stroked="f" strokeweight="2pt"/>
            </w:pict>
          </mc:Fallback>
        </mc:AlternateContent>
      </w:r>
      <w:r w:rsidR="00306655">
        <w:br w:type="page"/>
      </w:r>
    </w:p>
    <w:p w:rsidR="00912915" w:rsidRDefault="001B44A2" w:rsidP="00306655">
      <w:pPr>
        <w:pStyle w:val="NoSpacing"/>
        <w:jc w:val="center"/>
      </w:pPr>
      <w:r>
        <w:lastRenderedPageBreak/>
        <w:t>SECTION 07 21 29</w:t>
      </w:r>
    </w:p>
    <w:p w:rsidR="001B44A2" w:rsidRDefault="001B44A2" w:rsidP="001B44A2">
      <w:pPr>
        <w:pStyle w:val="NoSpacing"/>
        <w:jc w:val="center"/>
      </w:pPr>
      <w:r>
        <w:t>SPRAYED INSULATION</w:t>
      </w:r>
    </w:p>
    <w:p w:rsidR="001B44A2" w:rsidRDefault="001B44A2" w:rsidP="001B44A2">
      <w:pPr>
        <w:pStyle w:val="NoSpacing"/>
        <w:jc w:val="center"/>
      </w:pPr>
    </w:p>
    <w:p w:rsidR="001B44A2" w:rsidRDefault="001B44A2" w:rsidP="001B44A2">
      <w:pPr>
        <w:pStyle w:val="NoSpacing"/>
      </w:pPr>
      <w:r>
        <w:t>PART 1 – GENERAL</w:t>
      </w:r>
    </w:p>
    <w:p w:rsidR="001B44A2" w:rsidRDefault="001B44A2" w:rsidP="001B44A2">
      <w:pPr>
        <w:pStyle w:val="NoSpacing"/>
      </w:pPr>
    </w:p>
    <w:p w:rsidR="007C13AD" w:rsidRDefault="007C13AD" w:rsidP="007C13AD">
      <w:pPr>
        <w:pStyle w:val="NoSpacing"/>
        <w:numPr>
          <w:ilvl w:val="1"/>
          <w:numId w:val="1"/>
        </w:numPr>
      </w:pPr>
      <w:r>
        <w:t>SCOPE OF WORK</w:t>
      </w:r>
    </w:p>
    <w:p w:rsidR="007C13AD" w:rsidRDefault="007C13AD" w:rsidP="007C13AD">
      <w:pPr>
        <w:pStyle w:val="NoSpacing"/>
        <w:ind w:left="720"/>
      </w:pPr>
    </w:p>
    <w:p w:rsidR="007C13AD" w:rsidRDefault="007C13AD" w:rsidP="0044541A">
      <w:pPr>
        <w:pStyle w:val="NoSpacing"/>
        <w:ind w:left="720"/>
        <w:jc w:val="both"/>
      </w:pPr>
      <w:r w:rsidRPr="007C13AD">
        <w:t>Furnish all labor, materials, tools and equipment necessary for the application of a spray polyurethane team building envelope insulation system, including accessory items, subject to the general provisions of the contract.</w:t>
      </w:r>
    </w:p>
    <w:p w:rsidR="007C13AD" w:rsidRDefault="007C13AD" w:rsidP="007C13AD">
      <w:pPr>
        <w:pStyle w:val="NoSpacing"/>
        <w:ind w:left="720"/>
      </w:pPr>
    </w:p>
    <w:p w:rsidR="007C13AD" w:rsidRDefault="007C13AD" w:rsidP="007C13AD">
      <w:pPr>
        <w:pStyle w:val="NoSpacing"/>
        <w:numPr>
          <w:ilvl w:val="1"/>
          <w:numId w:val="1"/>
        </w:numPr>
      </w:pPr>
      <w:r>
        <w:t>SUMMARY</w:t>
      </w:r>
    </w:p>
    <w:p w:rsidR="007C13AD" w:rsidRDefault="007C13AD" w:rsidP="007C13AD">
      <w:pPr>
        <w:pStyle w:val="NoSpacing"/>
        <w:ind w:left="720"/>
      </w:pPr>
    </w:p>
    <w:p w:rsidR="00DE6AF6" w:rsidRDefault="007C13AD" w:rsidP="0044541A">
      <w:pPr>
        <w:pStyle w:val="NoSpacing"/>
        <w:ind w:left="720"/>
        <w:jc w:val="both"/>
      </w:pPr>
      <w:r w:rsidRPr="007C13AD">
        <w:t>This guide discusses the application of seamless sprayed in place polyurethane foam for use as a building e</w:t>
      </w:r>
      <w:r w:rsidR="00DE6AF6">
        <w:t>nvelope insulation system.</w:t>
      </w:r>
    </w:p>
    <w:p w:rsidR="007C13AD" w:rsidRDefault="007C13AD" w:rsidP="0044541A">
      <w:pPr>
        <w:pStyle w:val="NoSpacing"/>
        <w:ind w:left="720"/>
        <w:jc w:val="both"/>
      </w:pPr>
    </w:p>
    <w:p w:rsidR="001B44A2" w:rsidRDefault="001B44A2" w:rsidP="001B44A2">
      <w:pPr>
        <w:pStyle w:val="NoSpacing"/>
        <w:numPr>
          <w:ilvl w:val="1"/>
          <w:numId w:val="1"/>
        </w:numPr>
      </w:pPr>
      <w:r>
        <w:t>RELATED DOCUMENTS</w:t>
      </w:r>
    </w:p>
    <w:p w:rsidR="00DD4305" w:rsidRDefault="00DD4305" w:rsidP="00DD4305">
      <w:pPr>
        <w:pStyle w:val="NoSpacing"/>
        <w:ind w:left="720"/>
      </w:pPr>
    </w:p>
    <w:p w:rsidR="007C13AD" w:rsidRDefault="007C13AD" w:rsidP="007C13AD">
      <w:pPr>
        <w:pStyle w:val="NoSpacing"/>
        <w:numPr>
          <w:ilvl w:val="0"/>
          <w:numId w:val="5"/>
        </w:numPr>
      </w:pPr>
      <w:r>
        <w:t>Rough Carpentry Section 06100</w:t>
      </w:r>
    </w:p>
    <w:p w:rsidR="007C13AD" w:rsidRDefault="0091704C" w:rsidP="007C13AD">
      <w:pPr>
        <w:pStyle w:val="NoSpacing"/>
        <w:numPr>
          <w:ilvl w:val="0"/>
          <w:numId w:val="5"/>
        </w:numPr>
      </w:pPr>
      <w:r>
        <w:t>Insulation</w:t>
      </w:r>
      <w:r w:rsidR="007C13AD">
        <w:t xml:space="preserve"> Other Section 07200</w:t>
      </w:r>
    </w:p>
    <w:p w:rsidR="007C13AD" w:rsidRDefault="007C13AD" w:rsidP="007C13AD">
      <w:pPr>
        <w:pStyle w:val="NoSpacing"/>
        <w:numPr>
          <w:ilvl w:val="0"/>
          <w:numId w:val="5"/>
        </w:numPr>
      </w:pPr>
      <w:r>
        <w:t>Thermal Barrier Section 07220</w:t>
      </w:r>
    </w:p>
    <w:p w:rsidR="007C13AD" w:rsidRDefault="007C13AD" w:rsidP="007C13AD">
      <w:pPr>
        <w:pStyle w:val="NoSpacing"/>
        <w:numPr>
          <w:ilvl w:val="0"/>
          <w:numId w:val="5"/>
        </w:numPr>
      </w:pPr>
      <w:r>
        <w:t>Vapor Retarder Section 06100</w:t>
      </w:r>
    </w:p>
    <w:p w:rsidR="007C13AD" w:rsidRDefault="007C13AD" w:rsidP="007C13AD">
      <w:pPr>
        <w:pStyle w:val="NoSpacing"/>
        <w:numPr>
          <w:ilvl w:val="0"/>
          <w:numId w:val="5"/>
        </w:numPr>
      </w:pPr>
      <w:r>
        <w:t>Mechanical Division 15</w:t>
      </w:r>
    </w:p>
    <w:p w:rsidR="007C13AD" w:rsidRDefault="007C13AD" w:rsidP="007C13AD">
      <w:pPr>
        <w:pStyle w:val="NoSpacing"/>
        <w:numPr>
          <w:ilvl w:val="0"/>
          <w:numId w:val="5"/>
        </w:numPr>
      </w:pPr>
      <w:r>
        <w:t>Electrical Division 16</w:t>
      </w:r>
    </w:p>
    <w:p w:rsidR="002C2FB3" w:rsidRDefault="002C2FB3" w:rsidP="002C2FB3">
      <w:pPr>
        <w:pStyle w:val="NoSpacing"/>
        <w:ind w:left="720"/>
      </w:pPr>
    </w:p>
    <w:p w:rsidR="002C2FB3" w:rsidRDefault="00512EE1" w:rsidP="00512EE1">
      <w:pPr>
        <w:pStyle w:val="NoSpacing"/>
        <w:numPr>
          <w:ilvl w:val="1"/>
          <w:numId w:val="1"/>
        </w:numPr>
      </w:pPr>
      <w:r>
        <w:t>REFERENCES</w:t>
      </w:r>
    </w:p>
    <w:p w:rsidR="00712EC0" w:rsidRDefault="00712EC0" w:rsidP="00712EC0">
      <w:pPr>
        <w:pStyle w:val="NoSpacing"/>
        <w:numPr>
          <w:ilvl w:val="0"/>
          <w:numId w:val="7"/>
        </w:numPr>
        <w:ind w:left="1440" w:hanging="720"/>
      </w:pPr>
      <w:r>
        <w:t>ASTM C 518 - Standard Test Method for Steady-State Thermal Transmission Properties by Means of the Heat Flow Meter Apparatus.</w:t>
      </w:r>
    </w:p>
    <w:p w:rsidR="00712EC0" w:rsidRDefault="00712EC0" w:rsidP="00712EC0">
      <w:pPr>
        <w:pStyle w:val="NoSpacing"/>
        <w:numPr>
          <w:ilvl w:val="0"/>
          <w:numId w:val="7"/>
        </w:numPr>
        <w:ind w:left="1440" w:hanging="720"/>
      </w:pPr>
      <w:r>
        <w:t>ASTM D 1622 - Standard Test Method for Apparent Density of Rigid Cellular Plastics.</w:t>
      </w:r>
    </w:p>
    <w:p w:rsidR="00712EC0" w:rsidRDefault="00712EC0" w:rsidP="00712EC0">
      <w:pPr>
        <w:pStyle w:val="NoSpacing"/>
        <w:numPr>
          <w:ilvl w:val="0"/>
          <w:numId w:val="7"/>
        </w:numPr>
        <w:ind w:left="1440" w:hanging="720"/>
      </w:pPr>
      <w:r>
        <w:t>ASTM D 6226 - Standard Test Method for Open Cell Content of Rigid Cellular Plastics.</w:t>
      </w:r>
    </w:p>
    <w:p w:rsidR="00712EC0" w:rsidRDefault="00712EC0" w:rsidP="00712EC0">
      <w:pPr>
        <w:pStyle w:val="NoSpacing"/>
        <w:numPr>
          <w:ilvl w:val="0"/>
          <w:numId w:val="7"/>
        </w:numPr>
        <w:ind w:left="1440" w:hanging="720"/>
      </w:pPr>
      <w:r>
        <w:t>ASTM E 84 - Standard Test Method for Surface Burning Characteristics of Building Materials.</w:t>
      </w:r>
    </w:p>
    <w:p w:rsidR="0079688B" w:rsidRDefault="00712EC0" w:rsidP="0079688B">
      <w:pPr>
        <w:pStyle w:val="NoSpacing"/>
        <w:numPr>
          <w:ilvl w:val="0"/>
          <w:numId w:val="7"/>
        </w:numPr>
        <w:ind w:left="1440" w:hanging="720"/>
      </w:pPr>
      <w:r>
        <w:t>ASTM E 96 - Standard Test Methods for Water Vapor Transmission of Materials.</w:t>
      </w:r>
    </w:p>
    <w:p w:rsidR="0091704C" w:rsidRDefault="0079688B" w:rsidP="0091704C">
      <w:pPr>
        <w:pStyle w:val="NoSpacing"/>
        <w:numPr>
          <w:ilvl w:val="0"/>
          <w:numId w:val="7"/>
        </w:numPr>
        <w:ind w:left="1440" w:hanging="720"/>
      </w:pPr>
      <w:r>
        <w:t>ASTM E 2178</w:t>
      </w:r>
      <w:r w:rsidR="00712EC0">
        <w:t xml:space="preserve"> - </w:t>
      </w:r>
      <w:r w:rsidRPr="0079688B">
        <w:t>Standard Test Method for Air Permeance of Building Materials</w:t>
      </w:r>
    </w:p>
    <w:p w:rsidR="003F0427" w:rsidRDefault="0091704C" w:rsidP="003F0427">
      <w:pPr>
        <w:pStyle w:val="NoSpacing"/>
        <w:numPr>
          <w:ilvl w:val="0"/>
          <w:numId w:val="7"/>
        </w:numPr>
        <w:ind w:left="1440" w:hanging="720"/>
      </w:pPr>
      <w:r>
        <w:t xml:space="preserve">ASTM E 2357 - </w:t>
      </w:r>
      <w:r w:rsidRPr="0091704C">
        <w:t>Standard Test Method for Determining Air Leakage of Air Barrier Assemblies</w:t>
      </w:r>
    </w:p>
    <w:p w:rsidR="003F0427" w:rsidRDefault="003F0427" w:rsidP="003F0427">
      <w:pPr>
        <w:pStyle w:val="NoSpacing"/>
        <w:numPr>
          <w:ilvl w:val="0"/>
          <w:numId w:val="7"/>
        </w:numPr>
        <w:ind w:left="1440" w:hanging="720"/>
      </w:pPr>
      <w:r>
        <w:t>ASTM C 1305 - Standard Test Method for Crack Bridging Ability of Liquid-Applied Waterproofing Membrane.</w:t>
      </w:r>
    </w:p>
    <w:p w:rsidR="003F0427" w:rsidRDefault="003F0427" w:rsidP="003F0427">
      <w:pPr>
        <w:pStyle w:val="NoSpacing"/>
        <w:numPr>
          <w:ilvl w:val="0"/>
          <w:numId w:val="7"/>
        </w:numPr>
        <w:ind w:left="1440" w:hanging="720"/>
      </w:pPr>
      <w:r>
        <w:t>ASTM D 4541 - Standard Test Method for Pull-Off Strength of Coatings Using Portable Adhesion Testers.</w:t>
      </w:r>
    </w:p>
    <w:p w:rsidR="001C12DC" w:rsidRDefault="00AF0AA8" w:rsidP="00AF0AA8">
      <w:pPr>
        <w:pStyle w:val="NoSpacing"/>
        <w:numPr>
          <w:ilvl w:val="0"/>
          <w:numId w:val="7"/>
        </w:numPr>
        <w:ind w:left="1440" w:hanging="720"/>
      </w:pPr>
      <w:r>
        <w:t>ASTM C 1338</w:t>
      </w:r>
      <w:r w:rsidR="00B02FE6">
        <w:t xml:space="preserve"> - </w:t>
      </w:r>
      <w:r w:rsidRPr="00AF0AA8">
        <w:t>Standard Test Method for Determining Fungi Resistance of Insulation Materials and Facings</w:t>
      </w:r>
    </w:p>
    <w:p w:rsidR="00D04405" w:rsidRDefault="00E2775E" w:rsidP="00D04405">
      <w:pPr>
        <w:pStyle w:val="NoSpacing"/>
        <w:numPr>
          <w:ilvl w:val="0"/>
          <w:numId w:val="7"/>
        </w:numPr>
        <w:ind w:left="1440" w:hanging="720"/>
      </w:pPr>
      <w:r>
        <w:t>NFPA 285</w:t>
      </w:r>
      <w:r w:rsidR="00F35878">
        <w:t xml:space="preserve"> - </w:t>
      </w:r>
      <w:r w:rsidR="00F35878" w:rsidRPr="00F35878">
        <w:t>Standard Fire Test Method for Evaluation of Fire Propagation Characteristics of Exterior Non-Load-Bearing Wall Assemblies Containing Combustible Components</w:t>
      </w:r>
    </w:p>
    <w:p w:rsidR="00F857B1" w:rsidRDefault="00E2775E" w:rsidP="00F857B1">
      <w:pPr>
        <w:pStyle w:val="NoSpacing"/>
        <w:numPr>
          <w:ilvl w:val="0"/>
          <w:numId w:val="7"/>
        </w:numPr>
        <w:ind w:left="1440" w:hanging="720"/>
      </w:pPr>
      <w:r>
        <w:t>NFPA 259</w:t>
      </w:r>
      <w:r w:rsidR="00D04405">
        <w:t xml:space="preserve"> - </w:t>
      </w:r>
      <w:r w:rsidR="00D04405" w:rsidRPr="00D04405">
        <w:t>Standard Test Method for Potential Heat of Building Materials</w:t>
      </w:r>
    </w:p>
    <w:p w:rsidR="00F857B1" w:rsidRDefault="00F857B1" w:rsidP="00F857B1">
      <w:pPr>
        <w:pStyle w:val="NoSpacing"/>
        <w:numPr>
          <w:ilvl w:val="0"/>
          <w:numId w:val="7"/>
        </w:numPr>
        <w:ind w:left="1440" w:hanging="720"/>
      </w:pPr>
      <w:r w:rsidRPr="00F857B1">
        <w:t>C</w:t>
      </w:r>
      <w:r>
        <w:t xml:space="preserve">alifornia </w:t>
      </w:r>
      <w:r w:rsidRPr="00F857B1">
        <w:t>D</w:t>
      </w:r>
      <w:r>
        <w:t xml:space="preserve">epartment of </w:t>
      </w:r>
      <w:r w:rsidRPr="00F857B1">
        <w:t>P</w:t>
      </w:r>
      <w:r>
        <w:t xml:space="preserve">ublic </w:t>
      </w:r>
      <w:r w:rsidRPr="00F857B1">
        <w:t>H</w:t>
      </w:r>
      <w:r>
        <w:t>ealth</w:t>
      </w:r>
      <w:r w:rsidRPr="00F857B1">
        <w:t xml:space="preserve"> Standard Method V1.1</w:t>
      </w:r>
    </w:p>
    <w:p w:rsidR="00B02FE6" w:rsidRDefault="00B02FE6" w:rsidP="00F857B1">
      <w:pPr>
        <w:pStyle w:val="NoSpacing"/>
        <w:numPr>
          <w:ilvl w:val="0"/>
          <w:numId w:val="7"/>
        </w:numPr>
        <w:ind w:left="1440" w:hanging="720"/>
      </w:pPr>
      <w:r>
        <w:t>International Code Council Acceptance Criteria for Spray Foam Insulation, AC 377</w:t>
      </w:r>
    </w:p>
    <w:p w:rsidR="00EB5D58" w:rsidRDefault="00EB5D58" w:rsidP="00712EC0">
      <w:pPr>
        <w:pStyle w:val="NoSpacing"/>
        <w:numPr>
          <w:ilvl w:val="0"/>
          <w:numId w:val="7"/>
        </w:numPr>
        <w:ind w:left="1440" w:hanging="720"/>
      </w:pPr>
      <w:r>
        <w:t>International Residential Code</w:t>
      </w:r>
    </w:p>
    <w:p w:rsidR="00EB5D58" w:rsidRDefault="00EB5D58" w:rsidP="00EB5D58">
      <w:pPr>
        <w:pStyle w:val="NoSpacing"/>
        <w:numPr>
          <w:ilvl w:val="0"/>
          <w:numId w:val="7"/>
        </w:numPr>
        <w:ind w:left="1440" w:hanging="720"/>
      </w:pPr>
      <w:r>
        <w:t>International Building Code</w:t>
      </w:r>
    </w:p>
    <w:p w:rsidR="00EB5D58" w:rsidRDefault="00EB5D58" w:rsidP="00512EE1">
      <w:pPr>
        <w:pStyle w:val="NoSpacing"/>
        <w:numPr>
          <w:ilvl w:val="0"/>
          <w:numId w:val="7"/>
        </w:numPr>
        <w:ind w:left="1440" w:hanging="720"/>
      </w:pPr>
      <w:r>
        <w:t>International Energy Conservation Code</w:t>
      </w:r>
    </w:p>
    <w:p w:rsidR="00E2775E" w:rsidRDefault="00E2775E" w:rsidP="00512EE1">
      <w:pPr>
        <w:pStyle w:val="NoSpacing"/>
        <w:numPr>
          <w:ilvl w:val="0"/>
          <w:numId w:val="7"/>
        </w:numPr>
        <w:ind w:left="1440" w:hanging="720"/>
      </w:pPr>
      <w:r>
        <w:t>International Green Building Code</w:t>
      </w:r>
    </w:p>
    <w:p w:rsidR="00E2775E" w:rsidRDefault="00EB5D58" w:rsidP="00E2775E">
      <w:pPr>
        <w:pStyle w:val="NoSpacing"/>
        <w:numPr>
          <w:ilvl w:val="0"/>
          <w:numId w:val="7"/>
        </w:numPr>
        <w:ind w:left="1440" w:hanging="720"/>
      </w:pPr>
      <w:r w:rsidRPr="00EB5D58">
        <w:t>American Society of Heating, Refrigerating and Air-Conditioning Engineers</w:t>
      </w:r>
      <w:r>
        <w:t xml:space="preserve"> Handbook</w:t>
      </w:r>
    </w:p>
    <w:p w:rsidR="0096259E" w:rsidRDefault="0096259E" w:rsidP="00E2775E">
      <w:pPr>
        <w:pStyle w:val="NoSpacing"/>
        <w:numPr>
          <w:ilvl w:val="0"/>
          <w:numId w:val="7"/>
        </w:numPr>
        <w:ind w:left="1440" w:hanging="720"/>
      </w:pPr>
      <w:r>
        <w:lastRenderedPageBreak/>
        <w:t>USGBC Leadership in Energy and Environmental Design</w:t>
      </w:r>
      <w:r w:rsidR="00F857B1">
        <w:t xml:space="preserve"> (LEED)</w:t>
      </w:r>
    </w:p>
    <w:p w:rsidR="00EB5D58" w:rsidRDefault="00EB5D58" w:rsidP="00EB5D58">
      <w:pPr>
        <w:pStyle w:val="NoSpacing"/>
        <w:ind w:left="1440"/>
      </w:pPr>
    </w:p>
    <w:p w:rsidR="00512EE1" w:rsidRDefault="00DD4305" w:rsidP="00DD4305">
      <w:pPr>
        <w:pStyle w:val="NoSpacing"/>
        <w:numPr>
          <w:ilvl w:val="1"/>
          <w:numId w:val="1"/>
        </w:numPr>
      </w:pPr>
      <w:r>
        <w:t>SUBMITTALS</w:t>
      </w:r>
    </w:p>
    <w:p w:rsidR="007C13AD" w:rsidRDefault="007C13AD" w:rsidP="007C13AD">
      <w:pPr>
        <w:pStyle w:val="NoSpacing"/>
        <w:ind w:left="720"/>
      </w:pPr>
    </w:p>
    <w:p w:rsidR="007C13AD" w:rsidRDefault="007C13AD" w:rsidP="007C13AD">
      <w:pPr>
        <w:pStyle w:val="NoSpacing"/>
        <w:numPr>
          <w:ilvl w:val="0"/>
          <w:numId w:val="6"/>
        </w:numPr>
        <w:ind w:left="1440" w:hanging="720"/>
      </w:pPr>
      <w:r>
        <w:t>Manufacturers to provide published data sheets or letter of certification that their products comp</w:t>
      </w:r>
      <w:r w:rsidR="00F06864">
        <w:t xml:space="preserve">ly with </w:t>
      </w:r>
      <w:r w:rsidR="0096259E">
        <w:t>this specification</w:t>
      </w:r>
      <w:r>
        <w:t xml:space="preserve"> </w:t>
      </w:r>
    </w:p>
    <w:p w:rsidR="007C13AD" w:rsidRDefault="00F06864" w:rsidP="007C13AD">
      <w:pPr>
        <w:pStyle w:val="NoSpacing"/>
        <w:numPr>
          <w:ilvl w:val="0"/>
          <w:numId w:val="6"/>
        </w:numPr>
        <w:ind w:left="1440" w:hanging="720"/>
      </w:pPr>
      <w:r>
        <w:t>Shop drawings, if required</w:t>
      </w:r>
    </w:p>
    <w:p w:rsidR="007C13AD" w:rsidRDefault="007C13AD" w:rsidP="007C13AD">
      <w:pPr>
        <w:pStyle w:val="NoSpacing"/>
        <w:numPr>
          <w:ilvl w:val="0"/>
          <w:numId w:val="6"/>
        </w:numPr>
        <w:ind w:left="1440" w:hanging="720"/>
      </w:pPr>
      <w:r>
        <w:t>Manufacturer's applicati</w:t>
      </w:r>
      <w:r w:rsidR="00F06864">
        <w:t>on or installation instructions</w:t>
      </w:r>
    </w:p>
    <w:p w:rsidR="00F857B1" w:rsidRDefault="007C13AD" w:rsidP="00F857B1">
      <w:pPr>
        <w:pStyle w:val="NoSpacing"/>
        <w:numPr>
          <w:ilvl w:val="0"/>
          <w:numId w:val="6"/>
        </w:numPr>
        <w:ind w:left="1440" w:hanging="720"/>
      </w:pPr>
      <w:r>
        <w:t>Contractor/applicator certif</w:t>
      </w:r>
      <w:r w:rsidR="00DE6AF6">
        <w:t xml:space="preserve">ication from spray polyurethane </w:t>
      </w:r>
      <w:r w:rsidR="001D6925">
        <w:t xml:space="preserve">foam supplier </w:t>
      </w:r>
      <w:r w:rsidR="00DE6AF6">
        <w:t>or S</w:t>
      </w:r>
      <w:r w:rsidR="00F06864">
        <w:t>pray Polyurethane Foam Alliance</w:t>
      </w:r>
      <w:r w:rsidR="00DE6AF6">
        <w:t xml:space="preserve"> </w:t>
      </w:r>
    </w:p>
    <w:p w:rsidR="00F857B1" w:rsidRDefault="00F857B1" w:rsidP="00F857B1">
      <w:pPr>
        <w:pStyle w:val="NoSpacing"/>
        <w:numPr>
          <w:ilvl w:val="0"/>
          <w:numId w:val="6"/>
        </w:numPr>
        <w:ind w:left="1440" w:hanging="720"/>
      </w:pPr>
      <w:r>
        <w:t>I</w:t>
      </w:r>
      <w:r w:rsidRPr="00F857B1">
        <w:t>nternational Association of Plumbing and Mechanical Officials</w:t>
      </w:r>
      <w:r>
        <w:t xml:space="preserve"> (IAPMO) </w:t>
      </w:r>
      <w:r w:rsidR="001C12DC">
        <w:t>Evaluation Services Report</w:t>
      </w:r>
    </w:p>
    <w:p w:rsidR="00F06864" w:rsidRDefault="00F06864" w:rsidP="00F857B1">
      <w:pPr>
        <w:pStyle w:val="NoSpacing"/>
        <w:numPr>
          <w:ilvl w:val="0"/>
          <w:numId w:val="6"/>
        </w:numPr>
        <w:ind w:left="1440" w:hanging="720"/>
      </w:pPr>
      <w:r>
        <w:t>VOC Certificate</w:t>
      </w:r>
    </w:p>
    <w:p w:rsidR="007C13AD" w:rsidRDefault="00B31A7B" w:rsidP="007C13AD">
      <w:pPr>
        <w:pStyle w:val="NoSpacing"/>
        <w:numPr>
          <w:ilvl w:val="0"/>
          <w:numId w:val="6"/>
        </w:numPr>
        <w:ind w:left="1440" w:hanging="720"/>
      </w:pPr>
      <w:r>
        <w:t>Safety Data Sheets (</w:t>
      </w:r>
      <w:r w:rsidR="00F06864">
        <w:t>SDS)</w:t>
      </w:r>
    </w:p>
    <w:p w:rsidR="00DD4305" w:rsidRDefault="007C13AD" w:rsidP="007C13AD">
      <w:pPr>
        <w:pStyle w:val="NoSpacing"/>
        <w:numPr>
          <w:ilvl w:val="0"/>
          <w:numId w:val="6"/>
        </w:numPr>
        <w:ind w:left="1440" w:hanging="720"/>
      </w:pPr>
      <w:r>
        <w:t>Field Quality Control Procedures to be utilized by the contractor/applicat</w:t>
      </w:r>
      <w:r w:rsidR="00F06864">
        <w:t>or to insure proper preparation</w:t>
      </w:r>
    </w:p>
    <w:p w:rsidR="00DD4305" w:rsidRDefault="00DD4305" w:rsidP="00DD4305">
      <w:pPr>
        <w:pStyle w:val="NoSpacing"/>
      </w:pPr>
    </w:p>
    <w:p w:rsidR="00DD4305" w:rsidRDefault="00DD4305" w:rsidP="00DD4305">
      <w:pPr>
        <w:pStyle w:val="NoSpacing"/>
        <w:numPr>
          <w:ilvl w:val="1"/>
          <w:numId w:val="1"/>
        </w:numPr>
      </w:pPr>
      <w:r>
        <w:t>QUALITY ASSURANCE</w:t>
      </w:r>
    </w:p>
    <w:p w:rsidR="00DD4305" w:rsidRDefault="00DD4305" w:rsidP="00DD4305">
      <w:pPr>
        <w:pStyle w:val="NoSpacing"/>
      </w:pPr>
    </w:p>
    <w:p w:rsidR="00272F4C" w:rsidRDefault="007C13AD" w:rsidP="0044541A">
      <w:pPr>
        <w:pStyle w:val="NoSpacing"/>
        <w:ind w:left="720"/>
        <w:jc w:val="both"/>
      </w:pPr>
      <w:r w:rsidRPr="007C13AD">
        <w:t>Contractor Qualifications: The contractor should provide information concerning projects similar in nature to the one proposed, including locat</w:t>
      </w:r>
      <w:r w:rsidR="00272F4C">
        <w:t xml:space="preserve">ion and person to be contacted.  </w:t>
      </w:r>
      <w:r w:rsidRPr="007C13AD">
        <w:t>Some manufacturers of sprayed polyurethane foam systems have approval programs and/or licensing methods that could be required.</w:t>
      </w:r>
    </w:p>
    <w:p w:rsidR="00272F4C" w:rsidRDefault="00272F4C" w:rsidP="00272F4C">
      <w:pPr>
        <w:pStyle w:val="NoSpacing"/>
      </w:pPr>
    </w:p>
    <w:p w:rsidR="00272F4C" w:rsidRDefault="00272F4C" w:rsidP="00272F4C">
      <w:pPr>
        <w:pStyle w:val="NoSpacing"/>
      </w:pPr>
      <w:r>
        <w:t>1.6</w:t>
      </w:r>
      <w:r>
        <w:tab/>
        <w:t>DELIVERY, STORAGE AND HANDLING</w:t>
      </w:r>
    </w:p>
    <w:p w:rsidR="00272F4C" w:rsidRDefault="00272F4C" w:rsidP="00272F4C">
      <w:pPr>
        <w:pStyle w:val="NoSpacing"/>
      </w:pPr>
      <w:r>
        <w:tab/>
      </w:r>
    </w:p>
    <w:p w:rsidR="00095923" w:rsidRDefault="00095923" w:rsidP="00272F4C">
      <w:pPr>
        <w:pStyle w:val="NoSpacing"/>
        <w:numPr>
          <w:ilvl w:val="0"/>
          <w:numId w:val="8"/>
        </w:numPr>
        <w:ind w:left="1440" w:hanging="720"/>
      </w:pPr>
      <w:r>
        <w:t>For optimal shelf life store materials between 50 to 90°F and 50% relative humidity</w:t>
      </w:r>
    </w:p>
    <w:p w:rsidR="00272F4C" w:rsidRDefault="00140DF2" w:rsidP="00272F4C">
      <w:pPr>
        <w:pStyle w:val="NoSpacing"/>
        <w:numPr>
          <w:ilvl w:val="0"/>
          <w:numId w:val="8"/>
        </w:numPr>
        <w:ind w:left="1440" w:hanging="720"/>
      </w:pPr>
      <w:r>
        <w:t xml:space="preserve">Store materials above 65°F </w:t>
      </w:r>
      <w:r w:rsidR="00272F4C">
        <w:t>for 48 hours before use.</w:t>
      </w:r>
    </w:p>
    <w:p w:rsidR="00272F4C" w:rsidRDefault="00272F4C" w:rsidP="00272F4C">
      <w:pPr>
        <w:pStyle w:val="NoSpacing"/>
        <w:numPr>
          <w:ilvl w:val="0"/>
          <w:numId w:val="8"/>
        </w:numPr>
        <w:ind w:left="1440" w:hanging="720"/>
      </w:pPr>
      <w:r>
        <w:t>Do not store in direct sunlight</w:t>
      </w:r>
      <w:r w:rsidR="00140DF2">
        <w:t xml:space="preserve"> and out of inclement weather.</w:t>
      </w:r>
    </w:p>
    <w:p w:rsidR="00272F4C" w:rsidRDefault="00272F4C" w:rsidP="00272F4C">
      <w:pPr>
        <w:pStyle w:val="NoSpacing"/>
        <w:numPr>
          <w:ilvl w:val="0"/>
          <w:numId w:val="8"/>
        </w:numPr>
        <w:ind w:left="1440" w:hanging="720"/>
      </w:pPr>
      <w:r>
        <w:t>Keep containers tightly closed</w:t>
      </w:r>
      <w:r w:rsidR="001C12DC">
        <w:t>, under dry air or nitrogen</w:t>
      </w:r>
      <w:r>
        <w:t xml:space="preserve"> </w:t>
      </w:r>
      <w:r w:rsidR="001C12DC">
        <w:t>blanket</w:t>
      </w:r>
      <w:r w:rsidR="000116FE">
        <w:t>,</w:t>
      </w:r>
      <w:r w:rsidR="001C12DC">
        <w:t xml:space="preserve"> </w:t>
      </w:r>
      <w:r w:rsidR="00140DF2">
        <w:t>when not in use.</w:t>
      </w:r>
    </w:p>
    <w:p w:rsidR="00272F4C" w:rsidRDefault="00272F4C" w:rsidP="00272F4C">
      <w:pPr>
        <w:pStyle w:val="NoSpacing"/>
      </w:pPr>
      <w:r>
        <w:tab/>
      </w:r>
    </w:p>
    <w:p w:rsidR="00272F4C" w:rsidRDefault="00272F4C" w:rsidP="00272F4C">
      <w:pPr>
        <w:pStyle w:val="NoSpacing"/>
        <w:numPr>
          <w:ilvl w:val="1"/>
          <w:numId w:val="1"/>
        </w:numPr>
      </w:pPr>
      <w:r>
        <w:t>PROJECT CONDITIONS</w:t>
      </w:r>
    </w:p>
    <w:p w:rsidR="00272F4C" w:rsidRDefault="00272F4C" w:rsidP="00272F4C">
      <w:pPr>
        <w:pStyle w:val="NoSpacing"/>
      </w:pPr>
      <w:r>
        <w:tab/>
      </w:r>
    </w:p>
    <w:p w:rsidR="00272F4C" w:rsidRDefault="00272F4C" w:rsidP="0044541A">
      <w:pPr>
        <w:pStyle w:val="NoSpacing"/>
        <w:numPr>
          <w:ilvl w:val="0"/>
          <w:numId w:val="11"/>
        </w:numPr>
        <w:ind w:left="1440" w:hanging="720"/>
        <w:jc w:val="both"/>
      </w:pPr>
      <w:r>
        <w:t>Substrates must be clean, dry and free of debris, oil, grease or other contaminants that could interfere with adhesion.</w:t>
      </w:r>
    </w:p>
    <w:p w:rsidR="00272F4C" w:rsidRDefault="00272F4C" w:rsidP="0044541A">
      <w:pPr>
        <w:pStyle w:val="NoSpacing"/>
        <w:numPr>
          <w:ilvl w:val="0"/>
          <w:numId w:val="11"/>
        </w:numPr>
        <w:ind w:left="1440" w:hanging="720"/>
        <w:jc w:val="both"/>
      </w:pPr>
      <w:r>
        <w:t>For best results apply spray polyurethane foam insulation when ambient conditions are above 40</w:t>
      </w:r>
      <w:r w:rsidR="00140DF2">
        <w:t>°</w:t>
      </w:r>
      <w:r>
        <w:t xml:space="preserve">F and relative humidity less than 80%.  For conditions with low temperature or high humidity, special </w:t>
      </w:r>
      <w:r w:rsidR="00815F6E">
        <w:t>job</w:t>
      </w:r>
      <w:r>
        <w:t xml:space="preserve"> preparation</w:t>
      </w:r>
      <w:r w:rsidR="00815F6E">
        <w:t xml:space="preserve"> measures should be implemented</w:t>
      </w:r>
      <w:r>
        <w:t>.  These measures include warming the environment</w:t>
      </w:r>
      <w:r w:rsidR="00DE6AF6">
        <w:t>, drying the substrates</w:t>
      </w:r>
      <w:r>
        <w:t xml:space="preserve"> </w:t>
      </w:r>
      <w:r w:rsidR="00DE6AF6">
        <w:t>and/</w:t>
      </w:r>
      <w:r>
        <w:t>or removing humidity, for example by air movement.</w:t>
      </w:r>
    </w:p>
    <w:p w:rsidR="00DE6AF6" w:rsidRDefault="00DE6AF6" w:rsidP="0044541A">
      <w:pPr>
        <w:pStyle w:val="NoSpacing"/>
        <w:numPr>
          <w:ilvl w:val="0"/>
          <w:numId w:val="11"/>
        </w:numPr>
        <w:ind w:left="1440" w:hanging="720"/>
        <w:jc w:val="both"/>
      </w:pPr>
      <w:r>
        <w:t>Substrate moisture content should be verified before application of spray polyurethane foam insulation.</w:t>
      </w:r>
    </w:p>
    <w:p w:rsidR="00272F4C" w:rsidRDefault="00272F4C" w:rsidP="00272F4C">
      <w:pPr>
        <w:pStyle w:val="NoSpacing"/>
      </w:pPr>
      <w:r>
        <w:tab/>
      </w:r>
    </w:p>
    <w:p w:rsidR="00272F4C" w:rsidRDefault="00272F4C" w:rsidP="00272F4C">
      <w:pPr>
        <w:pStyle w:val="NoSpacing"/>
      </w:pPr>
      <w:r>
        <w:t>1.7</w:t>
      </w:r>
      <w:r>
        <w:tab/>
        <w:t>SEQUENCING</w:t>
      </w:r>
    </w:p>
    <w:p w:rsidR="00272F4C" w:rsidRDefault="00272F4C" w:rsidP="00272F4C">
      <w:pPr>
        <w:pStyle w:val="NoSpacing"/>
      </w:pPr>
      <w:r>
        <w:tab/>
      </w:r>
    </w:p>
    <w:p w:rsidR="00B06451" w:rsidRDefault="00272F4C" w:rsidP="0044541A">
      <w:pPr>
        <w:pStyle w:val="NoSpacing"/>
        <w:numPr>
          <w:ilvl w:val="0"/>
          <w:numId w:val="12"/>
        </w:numPr>
        <w:ind w:left="1440" w:hanging="720"/>
        <w:jc w:val="both"/>
      </w:pPr>
      <w:r>
        <w:t>Install insulation after rough plumbing and electrical completed and inspected and other wall penetrations completed.</w:t>
      </w:r>
    </w:p>
    <w:p w:rsidR="001C12DC" w:rsidRDefault="001C12DC" w:rsidP="008F41F8">
      <w:pPr>
        <w:pStyle w:val="NoSpacing"/>
        <w:numPr>
          <w:ilvl w:val="0"/>
          <w:numId w:val="12"/>
        </w:numPr>
        <w:ind w:left="1440" w:hanging="720"/>
        <w:jc w:val="both"/>
      </w:pPr>
      <w:r>
        <w:t>Install insulation after sealant foams/caulks around penetrations in walls/ceilings are in place.</w:t>
      </w:r>
    </w:p>
    <w:p w:rsidR="00B06451" w:rsidRDefault="00B06451" w:rsidP="00B06451">
      <w:pPr>
        <w:pStyle w:val="NoSpacing"/>
      </w:pPr>
    </w:p>
    <w:p w:rsidR="00F06864" w:rsidRDefault="00F06864" w:rsidP="00B06451">
      <w:pPr>
        <w:pStyle w:val="NoSpacing"/>
      </w:pPr>
    </w:p>
    <w:p w:rsidR="00B06451" w:rsidRDefault="00B7079F" w:rsidP="00B06451">
      <w:pPr>
        <w:pStyle w:val="NoSpacing"/>
      </w:pPr>
      <w:r>
        <w:t>PART 2 – PRODUCTS</w:t>
      </w:r>
    </w:p>
    <w:p w:rsidR="00B7079F" w:rsidRDefault="00B7079F" w:rsidP="00B06451">
      <w:pPr>
        <w:pStyle w:val="NoSpacing"/>
      </w:pPr>
    </w:p>
    <w:p w:rsidR="00B7079F" w:rsidRDefault="00B7079F" w:rsidP="00B7079F">
      <w:pPr>
        <w:pStyle w:val="NoSpacing"/>
        <w:numPr>
          <w:ilvl w:val="1"/>
          <w:numId w:val="17"/>
        </w:numPr>
        <w:ind w:left="720" w:hanging="720"/>
      </w:pPr>
      <w:r>
        <w:lastRenderedPageBreak/>
        <w:t>MANUFACTURERS</w:t>
      </w:r>
    </w:p>
    <w:p w:rsidR="00B7079F" w:rsidRDefault="00B7079F" w:rsidP="00B7079F">
      <w:pPr>
        <w:pStyle w:val="NoSpacing"/>
      </w:pPr>
      <w:r>
        <w:tab/>
      </w:r>
    </w:p>
    <w:p w:rsidR="00E078CD" w:rsidRDefault="00B7079F" w:rsidP="00B7079F">
      <w:pPr>
        <w:pStyle w:val="NoSpacing"/>
        <w:numPr>
          <w:ilvl w:val="0"/>
          <w:numId w:val="15"/>
        </w:numPr>
        <w:ind w:left="1440" w:hanging="720"/>
      </w:pPr>
      <w:r>
        <w:t>SES Foam LLC</w:t>
      </w:r>
      <w:r w:rsidR="00140DF2">
        <w:t xml:space="preserve"> </w:t>
      </w:r>
    </w:p>
    <w:p w:rsidR="00B7079F" w:rsidRDefault="000116FE" w:rsidP="00B7079F">
      <w:pPr>
        <w:pStyle w:val="NoSpacing"/>
        <w:numPr>
          <w:ilvl w:val="0"/>
          <w:numId w:val="15"/>
        </w:numPr>
        <w:ind w:left="1440" w:hanging="720"/>
      </w:pPr>
      <w:r>
        <w:t>Substitutions</w:t>
      </w:r>
      <w:r w:rsidR="00E078CD">
        <w:t xml:space="preserve"> – Not permitted</w:t>
      </w:r>
    </w:p>
    <w:p w:rsidR="00B66B34" w:rsidRDefault="00B7079F" w:rsidP="00B7079F">
      <w:pPr>
        <w:pStyle w:val="NoSpacing"/>
      </w:pPr>
      <w:r>
        <w:tab/>
      </w:r>
    </w:p>
    <w:p w:rsidR="00B7079F" w:rsidRDefault="00B7079F" w:rsidP="00B7079F">
      <w:pPr>
        <w:pStyle w:val="NoSpacing"/>
      </w:pPr>
      <w:r>
        <w:t>2.2</w:t>
      </w:r>
      <w:r>
        <w:tab/>
        <w:t>MATERIALS</w:t>
      </w:r>
    </w:p>
    <w:p w:rsidR="00B7079F" w:rsidRDefault="00B7079F" w:rsidP="00B7079F">
      <w:pPr>
        <w:pStyle w:val="NoSpacing"/>
      </w:pPr>
      <w:r>
        <w:tab/>
      </w:r>
    </w:p>
    <w:p w:rsidR="00E078CD" w:rsidRDefault="0091704C" w:rsidP="00B7079F">
      <w:pPr>
        <w:pStyle w:val="NoSpacing"/>
        <w:numPr>
          <w:ilvl w:val="0"/>
          <w:numId w:val="18"/>
        </w:numPr>
      </w:pPr>
      <w:r>
        <w:t>Nexseal™ 2.0</w:t>
      </w:r>
      <w:r w:rsidR="00E078CD">
        <w:t xml:space="preserve"> spray polyurethane foam insulation</w:t>
      </w:r>
    </w:p>
    <w:p w:rsidR="00140DF2" w:rsidRDefault="00201E2D" w:rsidP="00B7079F">
      <w:pPr>
        <w:pStyle w:val="NoSpacing"/>
        <w:numPr>
          <w:ilvl w:val="0"/>
          <w:numId w:val="18"/>
        </w:numPr>
      </w:pPr>
      <w:r>
        <w:t>Nominal core density: 2</w:t>
      </w:r>
      <w:r w:rsidR="00140DF2">
        <w:t xml:space="preserve"> lbs/ft</w:t>
      </w:r>
      <w:r w:rsidR="00140DF2" w:rsidRPr="00140DF2">
        <w:rPr>
          <w:vertAlign w:val="superscript"/>
        </w:rPr>
        <w:t>3</w:t>
      </w:r>
      <w:r w:rsidR="00140DF2">
        <w:t xml:space="preserve">, </w:t>
      </w:r>
      <w:r w:rsidR="00B7079F">
        <w:t>ASTM D</w:t>
      </w:r>
      <w:r w:rsidR="00140DF2">
        <w:t xml:space="preserve"> 1622</w:t>
      </w:r>
    </w:p>
    <w:p w:rsidR="00140DF2" w:rsidRDefault="00B31A7B" w:rsidP="00B7079F">
      <w:pPr>
        <w:pStyle w:val="NoSpacing"/>
        <w:numPr>
          <w:ilvl w:val="0"/>
          <w:numId w:val="18"/>
        </w:numPr>
      </w:pPr>
      <w:r>
        <w:t>Open cell content: &lt; 1</w:t>
      </w:r>
      <w:r w:rsidR="00140DF2">
        <w:t>0%, ASTM D 6</w:t>
      </w:r>
      <w:r w:rsidR="0044541A">
        <w:t>226</w:t>
      </w:r>
    </w:p>
    <w:p w:rsidR="00140DF2" w:rsidRDefault="00B7079F" w:rsidP="00B7079F">
      <w:pPr>
        <w:pStyle w:val="NoSpacing"/>
        <w:numPr>
          <w:ilvl w:val="0"/>
          <w:numId w:val="18"/>
        </w:numPr>
      </w:pPr>
      <w:r>
        <w:t xml:space="preserve">Moisture vapor transmission: </w:t>
      </w:r>
      <w:r w:rsidR="00F857B1">
        <w:t>&lt; 2 perm-inches</w:t>
      </w:r>
      <w:r w:rsidR="00140DF2">
        <w:t>, ASTM E 96</w:t>
      </w:r>
    </w:p>
    <w:p w:rsidR="00140DF2" w:rsidRDefault="00140DF2" w:rsidP="00B7079F">
      <w:pPr>
        <w:pStyle w:val="NoSpacing"/>
        <w:numPr>
          <w:ilvl w:val="0"/>
          <w:numId w:val="18"/>
        </w:numPr>
      </w:pPr>
      <w:r>
        <w:t xml:space="preserve">Surface Burning Characteristics: </w:t>
      </w:r>
      <w:r w:rsidR="00B7079F">
        <w:t>Maximum flame sp</w:t>
      </w:r>
      <w:r>
        <w:t>read</w:t>
      </w:r>
      <w:r w:rsidR="00B31A7B">
        <w:t xml:space="preserve">/smoke developed rating of </w:t>
      </w:r>
      <w:r w:rsidR="003F0427">
        <w:t>25 / 450</w:t>
      </w:r>
      <w:r>
        <w:t>,</w:t>
      </w:r>
      <w:r w:rsidR="003F0427">
        <w:t xml:space="preserve"> respectively, </w:t>
      </w:r>
      <w:r w:rsidR="00B7079F">
        <w:t>ASTM E</w:t>
      </w:r>
      <w:r>
        <w:t xml:space="preserve"> </w:t>
      </w:r>
      <w:r w:rsidR="00B7079F">
        <w:t>8</w:t>
      </w:r>
      <w:r w:rsidR="0044541A">
        <w:t>4</w:t>
      </w:r>
    </w:p>
    <w:p w:rsidR="00B7079F" w:rsidRDefault="00140DF2" w:rsidP="00B7079F">
      <w:pPr>
        <w:pStyle w:val="NoSpacing"/>
        <w:numPr>
          <w:ilvl w:val="0"/>
          <w:numId w:val="18"/>
        </w:numPr>
      </w:pPr>
      <w:r>
        <w:t xml:space="preserve">R-value: Average </w:t>
      </w:r>
      <w:r w:rsidR="00B31A7B">
        <w:t xml:space="preserve">R-value </w:t>
      </w:r>
      <w:r w:rsidR="0091704C">
        <w:t>of 7.0</w:t>
      </w:r>
      <w:r w:rsidR="00B7079F">
        <w:t xml:space="preserve"> per </w:t>
      </w:r>
      <w:r>
        <w:t>inch, ASTM C</w:t>
      </w:r>
      <w:r w:rsidR="00A14D11">
        <w:t xml:space="preserve"> </w:t>
      </w:r>
      <w:r>
        <w:t>518 at 75°</w:t>
      </w:r>
      <w:r w:rsidR="00B7079F">
        <w:t>F</w:t>
      </w:r>
      <w:r>
        <w:t xml:space="preserve"> mean temperature</w:t>
      </w:r>
      <w:r w:rsidR="00B7079F">
        <w:t>.</w:t>
      </w:r>
    </w:p>
    <w:p w:rsidR="00140DF2" w:rsidRDefault="0044541A" w:rsidP="00B31A7B">
      <w:pPr>
        <w:pStyle w:val="NoSpacing"/>
        <w:numPr>
          <w:ilvl w:val="0"/>
          <w:numId w:val="18"/>
        </w:numPr>
      </w:pPr>
      <w:r>
        <w:t>Air leakage: &lt; 0.02 L/s-m</w:t>
      </w:r>
      <w:r w:rsidRPr="0044541A">
        <w:rPr>
          <w:vertAlign w:val="superscript"/>
        </w:rPr>
        <w:t>2</w:t>
      </w:r>
      <w:r w:rsidR="00B31A7B">
        <w:t>, ASTM E 2178</w:t>
      </w:r>
    </w:p>
    <w:p w:rsidR="0091704C" w:rsidRDefault="0091704C" w:rsidP="00B31A7B">
      <w:pPr>
        <w:pStyle w:val="NoSpacing"/>
        <w:numPr>
          <w:ilvl w:val="0"/>
          <w:numId w:val="18"/>
        </w:numPr>
      </w:pPr>
      <w:r>
        <w:t>Air assembly leakage: &lt;0.002 L/s-m</w:t>
      </w:r>
      <w:r w:rsidRPr="0091704C">
        <w:rPr>
          <w:vertAlign w:val="superscript"/>
        </w:rPr>
        <w:t>2</w:t>
      </w:r>
      <w:r>
        <w:t>, ASTM E 2357</w:t>
      </w:r>
    </w:p>
    <w:p w:rsidR="003F0427" w:rsidRDefault="003F0427" w:rsidP="003F0427">
      <w:pPr>
        <w:pStyle w:val="NoSpacing"/>
        <w:numPr>
          <w:ilvl w:val="0"/>
          <w:numId w:val="18"/>
        </w:numPr>
      </w:pPr>
      <w:r>
        <w:t xml:space="preserve">Crack Bridging: Pass, </w:t>
      </w:r>
      <w:r w:rsidRPr="003F0427">
        <w:t>No cracking, splitting, pinholes or any other condition in the area of the joint</w:t>
      </w:r>
      <w:r>
        <w:t xml:space="preserve">, ASTM C 1305 </w:t>
      </w:r>
    </w:p>
    <w:p w:rsidR="003F0427" w:rsidRDefault="003F0427" w:rsidP="003F0427">
      <w:pPr>
        <w:pStyle w:val="NoSpacing"/>
        <w:numPr>
          <w:ilvl w:val="0"/>
          <w:numId w:val="18"/>
        </w:numPr>
      </w:pPr>
      <w:r>
        <w:t>Pull-Off Strength: Concrete &gt; 16 psi, Gypsum Board &gt; 16 psi or facer failure, CMU &gt; 16 psi,</w:t>
      </w:r>
      <w:r w:rsidRPr="003F0427">
        <w:t xml:space="preserve"> </w:t>
      </w:r>
      <w:r>
        <w:t>ASTM D 4541</w:t>
      </w:r>
    </w:p>
    <w:p w:rsidR="00140DF2" w:rsidRDefault="00E078CD" w:rsidP="00B7079F">
      <w:pPr>
        <w:pStyle w:val="NoSpacing"/>
        <w:numPr>
          <w:ilvl w:val="0"/>
          <w:numId w:val="18"/>
        </w:numPr>
      </w:pPr>
      <w:r>
        <w:t>Fungi Re</w:t>
      </w:r>
      <w:r w:rsidR="00201E2D">
        <w:t>sistance: Pass</w:t>
      </w:r>
      <w:r w:rsidR="00B31A7B">
        <w:t>, ASTM C 1338</w:t>
      </w:r>
    </w:p>
    <w:p w:rsidR="00E078CD" w:rsidRDefault="00E078CD" w:rsidP="00B7079F">
      <w:pPr>
        <w:pStyle w:val="NoSpacing"/>
        <w:numPr>
          <w:ilvl w:val="0"/>
          <w:numId w:val="18"/>
        </w:numPr>
      </w:pPr>
      <w:r>
        <w:t>Dimens</w:t>
      </w:r>
      <w:r w:rsidR="00B31A7B">
        <w:t>ional Stability (200°F dry): &lt; 15</w:t>
      </w:r>
      <w:r>
        <w:t xml:space="preserve">% </w:t>
      </w:r>
      <w:r w:rsidR="008F41F8">
        <w:t xml:space="preserve">volume </w:t>
      </w:r>
      <w:r>
        <w:t>change, ASTM D 2126</w:t>
      </w:r>
    </w:p>
    <w:p w:rsidR="00E078CD" w:rsidRDefault="00E078CD" w:rsidP="00B7079F">
      <w:pPr>
        <w:pStyle w:val="NoSpacing"/>
        <w:numPr>
          <w:ilvl w:val="0"/>
          <w:numId w:val="18"/>
        </w:numPr>
      </w:pPr>
      <w:r>
        <w:t xml:space="preserve">Dimensional Stability (-40°F): &lt; </w:t>
      </w:r>
      <w:r w:rsidR="00B31A7B">
        <w:t>1</w:t>
      </w:r>
      <w:r>
        <w:t xml:space="preserve">5% </w:t>
      </w:r>
      <w:r w:rsidR="008F41F8">
        <w:t xml:space="preserve">volume </w:t>
      </w:r>
      <w:r>
        <w:t>change, ASTM D 2126</w:t>
      </w:r>
    </w:p>
    <w:p w:rsidR="00E078CD" w:rsidRDefault="00E078CD" w:rsidP="00B7079F">
      <w:pPr>
        <w:pStyle w:val="NoSpacing"/>
        <w:numPr>
          <w:ilvl w:val="0"/>
          <w:numId w:val="18"/>
        </w:numPr>
      </w:pPr>
      <w:r>
        <w:t xml:space="preserve">Dimensional Stability (158F &amp; 100% RH): &lt; </w:t>
      </w:r>
      <w:r w:rsidR="00B31A7B">
        <w:t>1</w:t>
      </w:r>
      <w:r>
        <w:t xml:space="preserve">5% </w:t>
      </w:r>
      <w:r w:rsidR="008F41F8">
        <w:t xml:space="preserve">volume </w:t>
      </w:r>
      <w:r>
        <w:t>change, ASTM D 2126</w:t>
      </w:r>
    </w:p>
    <w:p w:rsidR="00720FE7" w:rsidRDefault="00720FE7" w:rsidP="00B7079F">
      <w:pPr>
        <w:pStyle w:val="NoSpacing"/>
        <w:numPr>
          <w:ilvl w:val="0"/>
          <w:numId w:val="18"/>
        </w:numPr>
      </w:pPr>
      <w:r>
        <w:t xml:space="preserve">Resistance to Ignition: Pass without intumescent coating, </w:t>
      </w:r>
      <w:r w:rsidR="00B02FE6">
        <w:t xml:space="preserve">ICC ES </w:t>
      </w:r>
      <w:r>
        <w:t>AC 377</w:t>
      </w:r>
      <w:r w:rsidR="00B02FE6">
        <w:t>,</w:t>
      </w:r>
      <w:r>
        <w:t xml:space="preserve"> Appendix X</w:t>
      </w:r>
    </w:p>
    <w:p w:rsidR="00F06864" w:rsidRDefault="00F06864" w:rsidP="00201E2D">
      <w:pPr>
        <w:pStyle w:val="NoSpacing"/>
        <w:numPr>
          <w:ilvl w:val="0"/>
          <w:numId w:val="18"/>
        </w:numPr>
      </w:pPr>
      <w:r>
        <w:t xml:space="preserve">Standard Heat Potential of Building Materials: </w:t>
      </w:r>
      <w:r w:rsidR="00201E2D" w:rsidRPr="00201E2D">
        <w:t>2006 Btu / ft</w:t>
      </w:r>
      <w:r w:rsidR="00201E2D" w:rsidRPr="00201E2D">
        <w:rPr>
          <w:vertAlign w:val="superscript"/>
        </w:rPr>
        <w:t>2</w:t>
      </w:r>
      <w:r w:rsidR="00201E2D" w:rsidRPr="00201E2D">
        <w:t xml:space="preserve"> per inch of thickness</w:t>
      </w:r>
      <w:r>
        <w:t>, NFPA 259</w:t>
      </w:r>
    </w:p>
    <w:p w:rsidR="00F06864" w:rsidRDefault="00F06864" w:rsidP="00F06864">
      <w:pPr>
        <w:pStyle w:val="NoSpacing"/>
        <w:numPr>
          <w:ilvl w:val="0"/>
          <w:numId w:val="18"/>
        </w:numPr>
      </w:pPr>
      <w:r>
        <w:t xml:space="preserve">Standard </w:t>
      </w:r>
      <w:r w:rsidRPr="00F06864">
        <w:t>of Fire Propagation Characteristics of Exterior Non-Load-Bearing Wall Assemblies C</w:t>
      </w:r>
      <w:r>
        <w:t>ontaining Combustible Components: Compliance, NFPA 285</w:t>
      </w:r>
    </w:p>
    <w:p w:rsidR="00F06864" w:rsidRDefault="00DE36E5" w:rsidP="00201E2D">
      <w:pPr>
        <w:pStyle w:val="NoSpacing"/>
        <w:numPr>
          <w:ilvl w:val="0"/>
          <w:numId w:val="18"/>
        </w:numPr>
      </w:pPr>
      <w:r>
        <w:t xml:space="preserve">Volatile </w:t>
      </w:r>
      <w:r w:rsidR="00201E2D">
        <w:t xml:space="preserve">Organic Compounds: Pass Office, </w:t>
      </w:r>
      <w:r>
        <w:t xml:space="preserve">Classroom </w:t>
      </w:r>
      <w:r w:rsidR="00201E2D">
        <w:t xml:space="preserve"> and Home </w:t>
      </w:r>
      <w:r>
        <w:t xml:space="preserve">Requirements, California </w:t>
      </w:r>
      <w:r w:rsidR="00201E2D">
        <w:t xml:space="preserve">Department of Public Health </w:t>
      </w:r>
      <w:r w:rsidR="00201E2D" w:rsidRPr="00201E2D">
        <w:t>Standard Method V1.1</w:t>
      </w:r>
    </w:p>
    <w:p w:rsidR="00B7079F" w:rsidRDefault="0044541A" w:rsidP="00B7079F">
      <w:pPr>
        <w:pStyle w:val="NoSpacing"/>
      </w:pPr>
      <w:r>
        <w:tab/>
      </w:r>
    </w:p>
    <w:p w:rsidR="00B7079F" w:rsidRDefault="00B7079F" w:rsidP="00B7079F">
      <w:pPr>
        <w:pStyle w:val="NoSpacing"/>
      </w:pPr>
      <w:r>
        <w:t>2.3</w:t>
      </w:r>
      <w:r>
        <w:tab/>
        <w:t>ACCESSORIES</w:t>
      </w:r>
    </w:p>
    <w:p w:rsidR="00B7079F" w:rsidRDefault="00B7079F" w:rsidP="00B7079F">
      <w:pPr>
        <w:pStyle w:val="NoSpacing"/>
      </w:pPr>
      <w:r>
        <w:tab/>
      </w:r>
    </w:p>
    <w:p w:rsidR="00B7079F" w:rsidRDefault="00B7079F" w:rsidP="0044541A">
      <w:pPr>
        <w:pStyle w:val="NoSpacing"/>
        <w:ind w:left="1440" w:hanging="720"/>
      </w:pPr>
      <w:r>
        <w:t>A.</w:t>
      </w:r>
      <w:r>
        <w:tab/>
      </w:r>
      <w:r w:rsidR="0044541A" w:rsidRPr="0044541A">
        <w:t>Sealant</w:t>
      </w:r>
      <w:r w:rsidRPr="0044541A">
        <w:t xml:space="preserve"> </w:t>
      </w:r>
      <w:r>
        <w:t>Foam: CF 124 Filler Foam by Hilti or equivalent.</w:t>
      </w:r>
    </w:p>
    <w:p w:rsidR="00B7079F" w:rsidRDefault="00B7079F" w:rsidP="0044541A">
      <w:pPr>
        <w:pStyle w:val="NoSpacing"/>
        <w:ind w:left="1440" w:hanging="720"/>
      </w:pPr>
      <w:r>
        <w:t>B.</w:t>
      </w:r>
      <w:r>
        <w:tab/>
        <w:t>Joint Sealer: Single component polyurethane type; Sikaflex 1a by Sika Corp. or equivalent.</w:t>
      </w:r>
    </w:p>
    <w:p w:rsidR="0044541A" w:rsidRDefault="0044541A" w:rsidP="0044541A">
      <w:pPr>
        <w:pStyle w:val="NoSpacing"/>
      </w:pPr>
    </w:p>
    <w:p w:rsidR="0044541A" w:rsidRDefault="0044541A" w:rsidP="0044541A">
      <w:pPr>
        <w:pStyle w:val="NoSpacing"/>
      </w:pPr>
      <w:r>
        <w:t>PART 3 – EXECUTION</w:t>
      </w:r>
    </w:p>
    <w:p w:rsidR="0044541A" w:rsidRDefault="0044541A" w:rsidP="0044541A">
      <w:pPr>
        <w:pStyle w:val="NoSpacing"/>
      </w:pPr>
    </w:p>
    <w:p w:rsidR="0044541A" w:rsidRDefault="0044541A" w:rsidP="0044541A">
      <w:pPr>
        <w:pStyle w:val="NoSpacing"/>
      </w:pPr>
      <w:r>
        <w:t>3.1</w:t>
      </w:r>
      <w:r>
        <w:tab/>
        <w:t>PREPARATION</w:t>
      </w:r>
    </w:p>
    <w:p w:rsidR="0044541A" w:rsidRDefault="0044541A" w:rsidP="0044541A">
      <w:pPr>
        <w:pStyle w:val="NoSpacing"/>
      </w:pPr>
      <w:r>
        <w:tab/>
      </w:r>
    </w:p>
    <w:p w:rsidR="0044541A" w:rsidRDefault="0044541A" w:rsidP="0044541A">
      <w:pPr>
        <w:pStyle w:val="NoSpacing"/>
        <w:numPr>
          <w:ilvl w:val="0"/>
          <w:numId w:val="19"/>
        </w:numPr>
        <w:ind w:left="1440" w:hanging="720"/>
        <w:jc w:val="both"/>
      </w:pPr>
      <w:r>
        <w:t xml:space="preserve">Clean surfaces to receive insulation; remove dirt, dust, and debris by blowing with compressed air or vacuuming. </w:t>
      </w:r>
    </w:p>
    <w:p w:rsidR="0044541A" w:rsidRDefault="0044541A" w:rsidP="0044541A">
      <w:pPr>
        <w:pStyle w:val="NoSpacing"/>
        <w:numPr>
          <w:ilvl w:val="0"/>
          <w:numId w:val="19"/>
        </w:numPr>
        <w:ind w:left="1440" w:hanging="720"/>
        <w:jc w:val="both"/>
      </w:pPr>
      <w:r>
        <w:t>Protect adjacent and underlying surfaces from accidental application using plastic sheeting and masking tape.</w:t>
      </w:r>
    </w:p>
    <w:p w:rsidR="0044541A" w:rsidRDefault="0044541A" w:rsidP="0044541A">
      <w:pPr>
        <w:pStyle w:val="NoSpacing"/>
        <w:numPr>
          <w:ilvl w:val="0"/>
          <w:numId w:val="19"/>
        </w:numPr>
        <w:ind w:left="1440" w:hanging="720"/>
        <w:jc w:val="both"/>
      </w:pPr>
      <w:r>
        <w:t>Apply filler foam or joint sealer around door and window frames, openings, and perimeter to contain insulation.</w:t>
      </w:r>
    </w:p>
    <w:p w:rsidR="00E078CD" w:rsidRDefault="0044541A" w:rsidP="00B02FE6">
      <w:pPr>
        <w:pStyle w:val="NoSpacing"/>
        <w:numPr>
          <w:ilvl w:val="0"/>
          <w:numId w:val="19"/>
        </w:numPr>
        <w:ind w:left="1440" w:hanging="720"/>
        <w:jc w:val="both"/>
      </w:pPr>
      <w:r>
        <w:t>Cover gaps greater than 2 inches with seam tape or gypsum backer board, then spray insulation over opening.</w:t>
      </w:r>
    </w:p>
    <w:p w:rsidR="00B02FE6" w:rsidRDefault="00B02FE6" w:rsidP="00B02FE6">
      <w:pPr>
        <w:pStyle w:val="NoSpacing"/>
        <w:numPr>
          <w:ilvl w:val="0"/>
          <w:numId w:val="19"/>
        </w:numPr>
        <w:ind w:left="1440" w:hanging="720"/>
        <w:jc w:val="both"/>
      </w:pPr>
      <w:r>
        <w:t>Protect heat emitting fixtures</w:t>
      </w:r>
      <w:r w:rsidR="00EB5D58">
        <w:t>/penetrations</w:t>
      </w:r>
      <w:r>
        <w:t xml:space="preserve"> with gypsum board or mineral fiber insulation</w:t>
      </w:r>
      <w:r w:rsidR="00EB5D58">
        <w:t>, see spray foam manufacturers’ recommendations</w:t>
      </w:r>
      <w:r>
        <w:t>.</w:t>
      </w:r>
    </w:p>
    <w:p w:rsidR="00B7079F" w:rsidRDefault="00B7079F" w:rsidP="00B7079F">
      <w:pPr>
        <w:pStyle w:val="NoSpacing"/>
      </w:pPr>
    </w:p>
    <w:p w:rsidR="0044541A" w:rsidRDefault="0044541A" w:rsidP="00B7079F">
      <w:pPr>
        <w:pStyle w:val="NoSpacing"/>
      </w:pPr>
      <w:r>
        <w:t>3.2</w:t>
      </w:r>
      <w:r>
        <w:tab/>
        <w:t>APPLICATION</w:t>
      </w:r>
    </w:p>
    <w:p w:rsidR="0044541A" w:rsidRDefault="0044541A" w:rsidP="00B7079F">
      <w:pPr>
        <w:pStyle w:val="NoSpacing"/>
      </w:pPr>
    </w:p>
    <w:p w:rsidR="00FA0FAA" w:rsidRDefault="00FA0FAA" w:rsidP="00FA0FAA">
      <w:pPr>
        <w:pStyle w:val="NoSpacing"/>
        <w:ind w:left="1440" w:hanging="720"/>
        <w:jc w:val="both"/>
      </w:pPr>
      <w:r w:rsidRPr="00FA0FAA">
        <w:t xml:space="preserve">A. </w:t>
      </w:r>
      <w:r>
        <w:tab/>
      </w:r>
      <w:r w:rsidRPr="00FA0FAA">
        <w:t>The spray polyurethane foam components (A) and (B) shall be processed in a</w:t>
      </w:r>
      <w:r w:rsidR="00EB5D58">
        <w:t>ccordance with the manufacturer</w:t>
      </w:r>
      <w:r w:rsidRPr="00FA0FAA">
        <w:t>s</w:t>
      </w:r>
      <w:r w:rsidR="00EB5D58">
        <w:t xml:space="preserve">’ installation </w:t>
      </w:r>
      <w:r w:rsidRPr="00FA0FAA">
        <w:t xml:space="preserve">instructions. </w:t>
      </w:r>
    </w:p>
    <w:p w:rsidR="00FA0FAA" w:rsidRDefault="00FA0FAA" w:rsidP="00FA0FAA">
      <w:pPr>
        <w:pStyle w:val="NoSpacing"/>
        <w:ind w:left="1440" w:hanging="720"/>
        <w:jc w:val="both"/>
      </w:pPr>
      <w:r w:rsidRPr="00FA0FAA">
        <w:t xml:space="preserve">B. </w:t>
      </w:r>
      <w:r>
        <w:tab/>
      </w:r>
      <w:r w:rsidRPr="00FA0FAA">
        <w:t xml:space="preserve">The polyurethane foam shall be sprayed within the manufacturer's guidelines for temperature, humidity, and other atmospheric conditions. </w:t>
      </w:r>
    </w:p>
    <w:p w:rsidR="0044541A" w:rsidRDefault="00FA0FAA" w:rsidP="00FA0FAA">
      <w:pPr>
        <w:pStyle w:val="NoSpacing"/>
        <w:ind w:left="1440" w:hanging="720"/>
        <w:jc w:val="both"/>
      </w:pPr>
      <w:r w:rsidRPr="00FA0FAA">
        <w:t xml:space="preserve">C. </w:t>
      </w:r>
      <w:r>
        <w:tab/>
      </w:r>
      <w:r w:rsidRPr="00FA0FAA">
        <w:t>The polyurethane foam shall be sprayed in minimum 1/2 inch thick passes (lifts) with the o</w:t>
      </w:r>
      <w:r w:rsidR="00EB5D58">
        <w:t>verall thickness to be a nominal</w:t>
      </w:r>
      <w:r w:rsidRPr="00FA0FAA">
        <w:t xml:space="preserve"> </w:t>
      </w:r>
      <w:r>
        <w:t>[</w:t>
      </w:r>
      <w:r w:rsidRPr="00FA0FAA">
        <w:t>___</w:t>
      </w:r>
      <w:r>
        <w:t>]</w:t>
      </w:r>
      <w:r w:rsidRPr="00FA0FAA">
        <w:t xml:space="preserve"> inches</w:t>
      </w:r>
      <w:r w:rsidR="00EB5D58">
        <w:t xml:space="preserve"> in walls,</w:t>
      </w:r>
      <w:r w:rsidR="00EB5D58" w:rsidRPr="00EB5D58">
        <w:t xml:space="preserve"> [___] inches in </w:t>
      </w:r>
      <w:r w:rsidR="00EB5D58">
        <w:t>ceilings/roofs [___] inches in subfloors/crawlspaces</w:t>
      </w:r>
      <w:r w:rsidRPr="00FA0FAA">
        <w:t xml:space="preserve">. </w:t>
      </w:r>
    </w:p>
    <w:p w:rsidR="00C40621" w:rsidRDefault="00C40621" w:rsidP="00FA0FAA">
      <w:pPr>
        <w:pStyle w:val="NoSpacing"/>
        <w:ind w:firstLine="720"/>
        <w:jc w:val="both"/>
      </w:pPr>
    </w:p>
    <w:p w:rsidR="0044541A" w:rsidRDefault="00FA0FAA" w:rsidP="00FA0FAA">
      <w:pPr>
        <w:pStyle w:val="NoSpacing"/>
        <w:numPr>
          <w:ilvl w:val="1"/>
          <w:numId w:val="21"/>
        </w:numPr>
        <w:ind w:left="720" w:hanging="720"/>
        <w:jc w:val="both"/>
      </w:pPr>
      <w:r>
        <w:t>SUBSTRATE PREPARATION CONSIDERATIONS</w:t>
      </w:r>
    </w:p>
    <w:p w:rsidR="00FA0FAA" w:rsidRDefault="00FA0FAA" w:rsidP="0044541A">
      <w:pPr>
        <w:pStyle w:val="NoSpacing"/>
        <w:jc w:val="both"/>
      </w:pPr>
    </w:p>
    <w:p w:rsidR="00FA0FAA" w:rsidRDefault="00FA0FAA" w:rsidP="00FA0FAA">
      <w:pPr>
        <w:pStyle w:val="NoSpacing"/>
        <w:ind w:left="1440" w:hanging="720"/>
        <w:jc w:val="both"/>
      </w:pPr>
      <w:r w:rsidRPr="00FA0FAA">
        <w:t xml:space="preserve">A. </w:t>
      </w:r>
      <w:r>
        <w:tab/>
      </w:r>
      <w:r w:rsidRPr="00FA0FAA">
        <w:t>WOOD</w:t>
      </w:r>
      <w:r w:rsidR="00095923">
        <w:t>:</w:t>
      </w:r>
      <w:r w:rsidRPr="00FA0FAA">
        <w:t xml:space="preserve"> </w:t>
      </w:r>
    </w:p>
    <w:p w:rsidR="00FA0FAA" w:rsidRDefault="00FA0FAA" w:rsidP="00FA0FAA">
      <w:pPr>
        <w:pStyle w:val="NoSpacing"/>
        <w:ind w:left="1440"/>
        <w:jc w:val="both"/>
      </w:pPr>
      <w:r w:rsidRPr="00FA0FAA">
        <w:t xml:space="preserve">1. Plywood shall contain no more than 18% water, as measured in accordance with ASTM D-4449 and 4444-84. </w:t>
      </w:r>
    </w:p>
    <w:p w:rsidR="00FA0FAA" w:rsidRDefault="00FA0FAA" w:rsidP="00FA0FAA">
      <w:pPr>
        <w:pStyle w:val="NoSpacing"/>
        <w:ind w:left="1440"/>
        <w:jc w:val="both"/>
      </w:pPr>
      <w:r w:rsidRPr="00FA0FAA">
        <w:t>2. Most untreated and unpainted wood surfaces need not be primed. The spray polyurethane foam can be applied directly to the dry wood. Priming may be required in certain instances. See the spray polyurethane foam manufacturer for specific details.</w:t>
      </w:r>
    </w:p>
    <w:p w:rsidR="00FA0FAA" w:rsidRDefault="00FA0FAA" w:rsidP="00FA0FAA">
      <w:pPr>
        <w:pStyle w:val="NoSpacing"/>
        <w:ind w:left="1440" w:hanging="720"/>
        <w:jc w:val="both"/>
      </w:pPr>
      <w:r>
        <w:t xml:space="preserve">B. </w:t>
      </w:r>
      <w:r>
        <w:tab/>
        <w:t>STEEL</w:t>
      </w:r>
      <w:r w:rsidR="00095923">
        <w:t>:</w:t>
      </w:r>
      <w:r w:rsidRPr="00FA0FAA">
        <w:t xml:space="preserve"> </w:t>
      </w:r>
    </w:p>
    <w:p w:rsidR="00FA0FAA" w:rsidRDefault="00FA0FAA" w:rsidP="00FA0FAA">
      <w:pPr>
        <w:pStyle w:val="NoSpacing"/>
        <w:ind w:left="1440"/>
        <w:jc w:val="both"/>
      </w:pPr>
      <w:r w:rsidRPr="00FA0FAA">
        <w:t xml:space="preserve">1. Primed: If the primed metal surface is free of loose scale, rust, weathered or chalking paint. It can be cleaned using vacuum equipment and hand or power tools to remove loose dirt. Grease, oil, or other contaminants shall be removed with proper cleaning solutions. </w:t>
      </w:r>
    </w:p>
    <w:p w:rsidR="00FA0FAA" w:rsidRDefault="00FA0FAA" w:rsidP="00FA0FAA">
      <w:pPr>
        <w:pStyle w:val="NoSpacing"/>
        <w:ind w:left="1440"/>
        <w:jc w:val="both"/>
      </w:pPr>
      <w:r w:rsidRPr="00FA0FAA">
        <w:t xml:space="preserve">2. Previously Painted: Clean the painted metal surface using hand or power tools to remove loose scale and dirt. Grease, oil, and other surface contaminants can be cleaned using a power wash technique. </w:t>
      </w:r>
    </w:p>
    <w:p w:rsidR="00FA0FAA" w:rsidRDefault="00FA0FAA" w:rsidP="00FA0FAA">
      <w:pPr>
        <w:pStyle w:val="NoSpacing"/>
        <w:ind w:left="1440"/>
        <w:jc w:val="both"/>
      </w:pPr>
      <w:r w:rsidRPr="00FA0FAA">
        <w:t xml:space="preserve">3. Galvanized: When required, clean galvanized steel as recommended by the primer manufacturer. </w:t>
      </w:r>
    </w:p>
    <w:p w:rsidR="00FA0FAA" w:rsidRDefault="00FA0FAA" w:rsidP="00FA0FAA">
      <w:pPr>
        <w:pStyle w:val="NoSpacing"/>
        <w:ind w:left="1440"/>
        <w:jc w:val="both"/>
      </w:pPr>
      <w:r w:rsidRPr="00FA0FAA">
        <w:t xml:space="preserve">4. Unpainted Steel: Clean as recommended by primer manufacturer in order to prepare the steel surface for the primer. </w:t>
      </w:r>
    </w:p>
    <w:p w:rsidR="00FA0FAA" w:rsidRDefault="00FA0FAA" w:rsidP="00F857B1">
      <w:pPr>
        <w:pStyle w:val="NoSpacing"/>
        <w:ind w:left="1440" w:hanging="720"/>
        <w:jc w:val="both"/>
      </w:pPr>
      <w:r w:rsidRPr="00FA0FAA">
        <w:t xml:space="preserve">C. </w:t>
      </w:r>
      <w:r>
        <w:tab/>
      </w:r>
      <w:r w:rsidR="00095923">
        <w:t>CONCRETE AND MASONRY:</w:t>
      </w:r>
      <w:r w:rsidRPr="00FA0FAA">
        <w:t xml:space="preserve"> Must be cured, and loose dirt and </w:t>
      </w:r>
      <w:r>
        <w:t>any other contaminants removed.</w:t>
      </w:r>
    </w:p>
    <w:p w:rsidR="00FA0FAA" w:rsidRDefault="00FA0FAA" w:rsidP="00FA0FAA">
      <w:pPr>
        <w:pStyle w:val="NoSpacing"/>
        <w:ind w:left="1440" w:hanging="720"/>
        <w:jc w:val="both"/>
      </w:pPr>
      <w:r w:rsidRPr="00FA0FAA">
        <w:t xml:space="preserve">D. </w:t>
      </w:r>
      <w:r>
        <w:tab/>
      </w:r>
      <w:r w:rsidR="00095923">
        <w:t>SHEATHING BOARD:</w:t>
      </w:r>
      <w:r w:rsidRPr="00FA0FAA">
        <w:t xml:space="preserve"> Most sheathing boards need not be primed prior to the application of sprayed-in-place polyurethane foam.</w:t>
      </w:r>
    </w:p>
    <w:p w:rsidR="00FA0FAA" w:rsidRDefault="00FA0FAA" w:rsidP="00FA0FAA">
      <w:pPr>
        <w:pStyle w:val="NoSpacing"/>
        <w:jc w:val="both"/>
      </w:pPr>
    </w:p>
    <w:p w:rsidR="00FA0FAA" w:rsidRDefault="00FA0FAA" w:rsidP="00FA0FAA">
      <w:pPr>
        <w:pStyle w:val="NoSpacing"/>
        <w:numPr>
          <w:ilvl w:val="1"/>
          <w:numId w:val="21"/>
        </w:numPr>
        <w:ind w:left="720" w:hanging="720"/>
        <w:jc w:val="both"/>
      </w:pPr>
      <w:r>
        <w:t>PRIMERS</w:t>
      </w:r>
    </w:p>
    <w:p w:rsidR="00FA0FAA" w:rsidRDefault="00FA0FAA" w:rsidP="00FA0FAA">
      <w:pPr>
        <w:pStyle w:val="NoSpacing"/>
        <w:ind w:left="720"/>
        <w:jc w:val="both"/>
      </w:pPr>
    </w:p>
    <w:p w:rsidR="00FA0FAA" w:rsidRDefault="00FA0FAA" w:rsidP="00FA0FAA">
      <w:pPr>
        <w:pStyle w:val="NoSpacing"/>
        <w:ind w:left="720"/>
        <w:jc w:val="both"/>
      </w:pPr>
      <w:r w:rsidRPr="00FA0FAA">
        <w:t>When required, the primer shall be applied to the properly prepared substrate in accordance with the manufacturer’s guidelines so as to achieve a minimum thickness of dry mils. Many primers require a curing time of 24 hours prior to application of spray polyurethane foam or other products</w:t>
      </w:r>
      <w:r w:rsidR="00F857B1">
        <w:t>, see manufacturers recommendations</w:t>
      </w:r>
      <w:r w:rsidRPr="00FA0FAA">
        <w:t>.</w:t>
      </w:r>
    </w:p>
    <w:p w:rsidR="00FA0FAA" w:rsidRDefault="00FA0FAA" w:rsidP="00FA0FAA">
      <w:pPr>
        <w:pStyle w:val="NoSpacing"/>
        <w:ind w:left="720" w:hanging="720"/>
        <w:jc w:val="both"/>
      </w:pPr>
    </w:p>
    <w:p w:rsidR="00FA0FAA" w:rsidRDefault="00FA0FAA" w:rsidP="00FA0FAA">
      <w:pPr>
        <w:pStyle w:val="NoSpacing"/>
        <w:numPr>
          <w:ilvl w:val="1"/>
          <w:numId w:val="21"/>
        </w:numPr>
        <w:ind w:left="720" w:hanging="720"/>
        <w:jc w:val="both"/>
      </w:pPr>
      <w:r>
        <w:t>VAPOR RETARDERS</w:t>
      </w:r>
    </w:p>
    <w:p w:rsidR="00FA0FAA" w:rsidRDefault="00FA0FAA" w:rsidP="00FA0FAA">
      <w:pPr>
        <w:pStyle w:val="NoSpacing"/>
        <w:ind w:left="720" w:hanging="720"/>
        <w:jc w:val="both"/>
      </w:pPr>
    </w:p>
    <w:p w:rsidR="00FA0FAA" w:rsidRDefault="00FA0FAA" w:rsidP="00FA0FAA">
      <w:pPr>
        <w:pStyle w:val="NoSpacing"/>
        <w:numPr>
          <w:ilvl w:val="0"/>
          <w:numId w:val="23"/>
        </w:numPr>
        <w:ind w:left="1440" w:hanging="720"/>
        <w:jc w:val="both"/>
      </w:pPr>
      <w:r w:rsidRPr="00FA0FAA">
        <w:t xml:space="preserve">When required, a vapor retarder shall be applied to the substrate to be insulated or to the finished spray polyurethane foam insulation. The predominant direction of the vapor drive determines the location of the vapor retarder relative </w:t>
      </w:r>
      <w:r>
        <w:t>to the spray polyurethane foam.</w:t>
      </w:r>
    </w:p>
    <w:p w:rsidR="00FA0FAA" w:rsidRDefault="00FA0FAA" w:rsidP="00FA0FAA">
      <w:pPr>
        <w:pStyle w:val="NoSpacing"/>
        <w:numPr>
          <w:ilvl w:val="0"/>
          <w:numId w:val="23"/>
        </w:numPr>
        <w:ind w:left="1440" w:hanging="720"/>
        <w:jc w:val="both"/>
      </w:pPr>
      <w:r w:rsidRPr="00FA0FAA">
        <w:t>The vapor retarder shall be applied in accordance with manufacturer's specifications so as to achieve the desired perm rating per ASTM E-96, Method E.</w:t>
      </w:r>
    </w:p>
    <w:p w:rsidR="00EE6A01" w:rsidRDefault="00EE6A01" w:rsidP="00EE6A01">
      <w:pPr>
        <w:pStyle w:val="NoSpacing"/>
        <w:ind w:left="1440"/>
        <w:jc w:val="both"/>
      </w:pPr>
    </w:p>
    <w:p w:rsidR="00FA0FAA" w:rsidRDefault="00FA0FAA" w:rsidP="00FA0FAA">
      <w:pPr>
        <w:pStyle w:val="NoSpacing"/>
        <w:jc w:val="both"/>
      </w:pPr>
    </w:p>
    <w:p w:rsidR="00FA0FAA" w:rsidRDefault="00FA0FAA" w:rsidP="00E078CD">
      <w:pPr>
        <w:pStyle w:val="NoSpacing"/>
        <w:numPr>
          <w:ilvl w:val="1"/>
          <w:numId w:val="24"/>
        </w:numPr>
        <w:ind w:left="720" w:hanging="720"/>
        <w:jc w:val="both"/>
      </w:pPr>
      <w:r>
        <w:lastRenderedPageBreak/>
        <w:t>THERMAL BARRIERS</w:t>
      </w:r>
    </w:p>
    <w:p w:rsidR="00FA0FAA" w:rsidRDefault="00FA0FAA" w:rsidP="00FA0FAA">
      <w:pPr>
        <w:pStyle w:val="NoSpacing"/>
        <w:ind w:left="360"/>
        <w:jc w:val="both"/>
      </w:pPr>
    </w:p>
    <w:p w:rsidR="00FA0FAA" w:rsidRDefault="00FA0FAA" w:rsidP="00095923">
      <w:pPr>
        <w:pStyle w:val="NoSpacing"/>
        <w:numPr>
          <w:ilvl w:val="0"/>
          <w:numId w:val="26"/>
        </w:numPr>
        <w:ind w:left="1440" w:hanging="720"/>
        <w:jc w:val="both"/>
      </w:pPr>
      <w:r w:rsidRPr="00FA0FAA">
        <w:t>The spray p</w:t>
      </w:r>
      <w:r w:rsidR="00AD2F63">
        <w:t>olyurethane foam must be separated from the interior (occupied) space by a</w:t>
      </w:r>
      <w:r w:rsidRPr="00FA0FAA">
        <w:t xml:space="preserve"> 15-minute rated thermal barrier. The thermal barrier must be applied in accordance with manufacturer guidelines.</w:t>
      </w:r>
    </w:p>
    <w:p w:rsidR="00095923" w:rsidRDefault="00AD2F63" w:rsidP="00095923">
      <w:pPr>
        <w:pStyle w:val="NoSpacing"/>
        <w:numPr>
          <w:ilvl w:val="0"/>
          <w:numId w:val="26"/>
        </w:numPr>
        <w:ind w:left="1440" w:hanging="720"/>
        <w:jc w:val="both"/>
      </w:pPr>
      <w:r>
        <w:t>Exception to the thermal barrier requirement is allowed when testing in compliance with interior</w:t>
      </w:r>
      <w:r w:rsidR="00F1656A">
        <w:t xml:space="preserve"> finish (NFPA 286) is</w:t>
      </w:r>
      <w:r>
        <w:t xml:space="preserve"> demonstrated.</w:t>
      </w:r>
    </w:p>
    <w:p w:rsidR="00AD2F63" w:rsidRDefault="00AD2F63" w:rsidP="00095923">
      <w:pPr>
        <w:pStyle w:val="NoSpacing"/>
        <w:numPr>
          <w:ilvl w:val="0"/>
          <w:numId w:val="26"/>
        </w:numPr>
        <w:ind w:left="1440" w:hanging="720"/>
        <w:jc w:val="both"/>
      </w:pPr>
      <w:r>
        <w:t>Exception to the thermal barrier requirement is allowed in attics/crawlspaces where entrance is allowed onl</w:t>
      </w:r>
      <w:r w:rsidR="00F1656A">
        <w:t>y for the services of utilities and the spray polyurethane foam insulation is covered by a prescribed barrier to ignition.  Ignition barriers are prescribed in IRC and IBC R314 and Chapter 26, respectively.</w:t>
      </w:r>
    </w:p>
    <w:p w:rsidR="000177C5" w:rsidRDefault="000177C5" w:rsidP="00815F6E">
      <w:pPr>
        <w:pStyle w:val="NoSpacing"/>
        <w:jc w:val="both"/>
      </w:pPr>
    </w:p>
    <w:p w:rsidR="00815F6E" w:rsidRDefault="00815F6E" w:rsidP="00815F6E">
      <w:pPr>
        <w:pStyle w:val="NoSpacing"/>
        <w:numPr>
          <w:ilvl w:val="1"/>
          <w:numId w:val="24"/>
        </w:numPr>
        <w:jc w:val="both"/>
      </w:pPr>
      <w:r>
        <w:t>IGNITION BARRIERS</w:t>
      </w:r>
    </w:p>
    <w:p w:rsidR="000177C5" w:rsidRDefault="000177C5" w:rsidP="000177C5">
      <w:pPr>
        <w:pStyle w:val="NoSpacing"/>
        <w:ind w:left="360"/>
        <w:jc w:val="both"/>
      </w:pPr>
    </w:p>
    <w:p w:rsidR="00815F6E" w:rsidRDefault="00815F6E" w:rsidP="00815F6E">
      <w:pPr>
        <w:pStyle w:val="NoSpacing"/>
        <w:numPr>
          <w:ilvl w:val="0"/>
          <w:numId w:val="29"/>
        </w:numPr>
        <w:jc w:val="both"/>
      </w:pPr>
      <w:r>
        <w:t xml:space="preserve">The prescribed ignition barrier </w:t>
      </w:r>
      <w:r w:rsidR="000177C5">
        <w:t xml:space="preserve">in attics and crawlspaces </w:t>
      </w:r>
      <w:r>
        <w:t>may be omitted when</w:t>
      </w:r>
      <w:r w:rsidR="000177C5">
        <w:t xml:space="preserve"> the spray foam insulation passes the International Code Council AC377, Appendix X.  Restrictions in this application apply, consult local building codes.</w:t>
      </w:r>
    </w:p>
    <w:p w:rsidR="00E078CD" w:rsidRDefault="00095923" w:rsidP="00095923">
      <w:pPr>
        <w:pStyle w:val="NoSpacing"/>
        <w:tabs>
          <w:tab w:val="left" w:pos="1212"/>
        </w:tabs>
        <w:jc w:val="both"/>
      </w:pPr>
      <w:r>
        <w:tab/>
      </w:r>
    </w:p>
    <w:p w:rsidR="00FA0FAA" w:rsidRDefault="00FA0FAA" w:rsidP="00FA0FAA">
      <w:pPr>
        <w:pStyle w:val="NoSpacing"/>
        <w:ind w:left="360"/>
        <w:jc w:val="both"/>
      </w:pPr>
    </w:p>
    <w:sectPr w:rsidR="00FA0FAA" w:rsidSect="00712EC0">
      <w:pgSz w:w="12240" w:h="15840"/>
      <w:pgMar w:top="1080" w:right="1080" w:bottom="810" w:left="1080" w:header="720" w:footer="54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5D" w:rsidRDefault="00D44D5D" w:rsidP="00306655">
      <w:pPr>
        <w:spacing w:after="0" w:line="240" w:lineRule="auto"/>
      </w:pPr>
      <w:r>
        <w:separator/>
      </w:r>
    </w:p>
  </w:endnote>
  <w:endnote w:type="continuationSeparator" w:id="0">
    <w:p w:rsidR="00D44D5D" w:rsidRDefault="00D44D5D" w:rsidP="003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1F" w:rsidRDefault="004A511F" w:rsidP="004A511F">
    <w:pPr>
      <w:pStyle w:val="Footer"/>
      <w:tabs>
        <w:tab w:val="clear" w:pos="9360"/>
        <w:tab w:val="right" w:pos="10080"/>
      </w:tabs>
    </w:pPr>
    <w:r>
      <w:t>Section 07 21 29</w:t>
    </w:r>
    <w:r>
      <w:tab/>
    </w:r>
    <w:r>
      <w:tab/>
      <w:t xml:space="preserve">       Page </w:t>
    </w:r>
    <w:sdt>
      <w:sdtPr>
        <w:id w:val="12592513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0F10">
          <w:rPr>
            <w:noProof/>
          </w:rPr>
          <w:t>1</w:t>
        </w:r>
        <w:r>
          <w:rPr>
            <w:noProof/>
          </w:rPr>
          <w:fldChar w:fldCharType="end"/>
        </w:r>
      </w:sdtContent>
    </w:sdt>
  </w:p>
  <w:p w:rsidR="00306655" w:rsidRDefault="004A511F">
    <w:pPr>
      <w:pStyle w:val="Footer"/>
    </w:pPr>
    <w:r>
      <w:t>Sprayed Insulation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5D" w:rsidRDefault="00D44D5D" w:rsidP="00306655">
      <w:pPr>
        <w:spacing w:after="0" w:line="240" w:lineRule="auto"/>
      </w:pPr>
      <w:r>
        <w:separator/>
      </w:r>
    </w:p>
  </w:footnote>
  <w:footnote w:type="continuationSeparator" w:id="0">
    <w:p w:rsidR="00D44D5D" w:rsidRDefault="00D44D5D" w:rsidP="00306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1E6"/>
    <w:multiLevelType w:val="hybridMultilevel"/>
    <w:tmpl w:val="C9C2D208"/>
    <w:lvl w:ilvl="0" w:tplc="D116B888">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F1F95"/>
    <w:multiLevelType w:val="hybridMultilevel"/>
    <w:tmpl w:val="AAF40200"/>
    <w:lvl w:ilvl="0" w:tplc="784451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72A29"/>
    <w:multiLevelType w:val="multilevel"/>
    <w:tmpl w:val="420882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BF754A1"/>
    <w:multiLevelType w:val="hybridMultilevel"/>
    <w:tmpl w:val="8CC837D2"/>
    <w:lvl w:ilvl="0" w:tplc="322298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616B8D"/>
    <w:multiLevelType w:val="hybridMultilevel"/>
    <w:tmpl w:val="B0DEC78E"/>
    <w:lvl w:ilvl="0" w:tplc="53788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526C74"/>
    <w:multiLevelType w:val="multilevel"/>
    <w:tmpl w:val="C02CE1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6791093"/>
    <w:multiLevelType w:val="hybridMultilevel"/>
    <w:tmpl w:val="7CE6E046"/>
    <w:lvl w:ilvl="0" w:tplc="ECC02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885C07"/>
    <w:multiLevelType w:val="hybridMultilevel"/>
    <w:tmpl w:val="3BF2132C"/>
    <w:lvl w:ilvl="0" w:tplc="19927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E41406"/>
    <w:multiLevelType w:val="hybridMultilevel"/>
    <w:tmpl w:val="715E9810"/>
    <w:lvl w:ilvl="0" w:tplc="C6BEE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F41F14"/>
    <w:multiLevelType w:val="hybridMultilevel"/>
    <w:tmpl w:val="88D83F20"/>
    <w:lvl w:ilvl="0" w:tplc="51746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70334E"/>
    <w:multiLevelType w:val="hybridMultilevel"/>
    <w:tmpl w:val="1C96EF2A"/>
    <w:lvl w:ilvl="0" w:tplc="742AD3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7B53B5"/>
    <w:multiLevelType w:val="hybridMultilevel"/>
    <w:tmpl w:val="4F8646A0"/>
    <w:lvl w:ilvl="0" w:tplc="32E25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59524A"/>
    <w:multiLevelType w:val="hybridMultilevel"/>
    <w:tmpl w:val="FCB08892"/>
    <w:lvl w:ilvl="0" w:tplc="6AAE1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C73877"/>
    <w:multiLevelType w:val="hybridMultilevel"/>
    <w:tmpl w:val="772EA478"/>
    <w:lvl w:ilvl="0" w:tplc="BA0E46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B36175"/>
    <w:multiLevelType w:val="hybridMultilevel"/>
    <w:tmpl w:val="7B8AF78A"/>
    <w:lvl w:ilvl="0" w:tplc="87F68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861CB7"/>
    <w:multiLevelType w:val="hybridMultilevel"/>
    <w:tmpl w:val="B6CC51C6"/>
    <w:lvl w:ilvl="0" w:tplc="24C88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BF5180"/>
    <w:multiLevelType w:val="hybridMultilevel"/>
    <w:tmpl w:val="E99E1A4E"/>
    <w:lvl w:ilvl="0" w:tplc="E046A060">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7478F5"/>
    <w:multiLevelType w:val="hybridMultilevel"/>
    <w:tmpl w:val="58A8887A"/>
    <w:lvl w:ilvl="0" w:tplc="4C6ACFA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4F2DE8"/>
    <w:multiLevelType w:val="hybridMultilevel"/>
    <w:tmpl w:val="3BA0E566"/>
    <w:lvl w:ilvl="0" w:tplc="DDE426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1E6971"/>
    <w:multiLevelType w:val="hybridMultilevel"/>
    <w:tmpl w:val="6602C33C"/>
    <w:lvl w:ilvl="0" w:tplc="A63E19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A705438"/>
    <w:multiLevelType w:val="hybridMultilevel"/>
    <w:tmpl w:val="162E4550"/>
    <w:lvl w:ilvl="0" w:tplc="75E2E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450B1E"/>
    <w:multiLevelType w:val="multilevel"/>
    <w:tmpl w:val="B0A098A0"/>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C56858"/>
    <w:multiLevelType w:val="multilevel"/>
    <w:tmpl w:val="A7EED1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0AA28F6"/>
    <w:multiLevelType w:val="hybridMultilevel"/>
    <w:tmpl w:val="C30C52C0"/>
    <w:lvl w:ilvl="0" w:tplc="AF920EEC">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CD511D"/>
    <w:multiLevelType w:val="multilevel"/>
    <w:tmpl w:val="FD30CB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296828"/>
    <w:multiLevelType w:val="hybridMultilevel"/>
    <w:tmpl w:val="090C683C"/>
    <w:lvl w:ilvl="0" w:tplc="BD0C1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503CC5"/>
    <w:multiLevelType w:val="multilevel"/>
    <w:tmpl w:val="106C43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8BB249D"/>
    <w:multiLevelType w:val="hybridMultilevel"/>
    <w:tmpl w:val="CBBA1F0A"/>
    <w:lvl w:ilvl="0" w:tplc="19AAD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D046DE"/>
    <w:multiLevelType w:val="hybridMultilevel"/>
    <w:tmpl w:val="E5A4402E"/>
    <w:lvl w:ilvl="0" w:tplc="A0F68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9"/>
  </w:num>
  <w:num w:numId="3">
    <w:abstractNumId w:val="3"/>
  </w:num>
  <w:num w:numId="4">
    <w:abstractNumId w:val="7"/>
  </w:num>
  <w:num w:numId="5">
    <w:abstractNumId w:val="13"/>
  </w:num>
  <w:num w:numId="6">
    <w:abstractNumId w:val="16"/>
  </w:num>
  <w:num w:numId="7">
    <w:abstractNumId w:val="17"/>
  </w:num>
  <w:num w:numId="8">
    <w:abstractNumId w:val="23"/>
  </w:num>
  <w:num w:numId="9">
    <w:abstractNumId w:val="19"/>
  </w:num>
  <w:num w:numId="10">
    <w:abstractNumId w:val="28"/>
  </w:num>
  <w:num w:numId="11">
    <w:abstractNumId w:val="11"/>
  </w:num>
  <w:num w:numId="12">
    <w:abstractNumId w:val="1"/>
  </w:num>
  <w:num w:numId="13">
    <w:abstractNumId w:val="14"/>
  </w:num>
  <w:num w:numId="14">
    <w:abstractNumId w:val="2"/>
  </w:num>
  <w:num w:numId="15">
    <w:abstractNumId w:val="15"/>
  </w:num>
  <w:num w:numId="16">
    <w:abstractNumId w:val="26"/>
  </w:num>
  <w:num w:numId="17">
    <w:abstractNumId w:val="24"/>
  </w:num>
  <w:num w:numId="18">
    <w:abstractNumId w:val="10"/>
  </w:num>
  <w:num w:numId="19">
    <w:abstractNumId w:val="0"/>
  </w:num>
  <w:num w:numId="20">
    <w:abstractNumId w:val="25"/>
  </w:num>
  <w:num w:numId="21">
    <w:abstractNumId w:val="22"/>
  </w:num>
  <w:num w:numId="22">
    <w:abstractNumId w:val="27"/>
  </w:num>
  <w:num w:numId="23">
    <w:abstractNumId w:val="12"/>
  </w:num>
  <w:num w:numId="24">
    <w:abstractNumId w:val="5"/>
  </w:num>
  <w:num w:numId="25">
    <w:abstractNumId w:val="8"/>
  </w:num>
  <w:num w:numId="26">
    <w:abstractNumId w:val="4"/>
  </w:num>
  <w:num w:numId="27">
    <w:abstractNumId w:val="18"/>
  </w:num>
  <w:num w:numId="28">
    <w:abstractNumId w:val="2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C7"/>
    <w:rsid w:val="0000225F"/>
    <w:rsid w:val="000116FE"/>
    <w:rsid w:val="00011B36"/>
    <w:rsid w:val="000177C5"/>
    <w:rsid w:val="00095923"/>
    <w:rsid w:val="000A4EDB"/>
    <w:rsid w:val="000D6578"/>
    <w:rsid w:val="000E6BA6"/>
    <w:rsid w:val="00140DF2"/>
    <w:rsid w:val="00170559"/>
    <w:rsid w:val="001A329B"/>
    <w:rsid w:val="001B29D4"/>
    <w:rsid w:val="001B44A2"/>
    <w:rsid w:val="001C12DC"/>
    <w:rsid w:val="001D6925"/>
    <w:rsid w:val="00201E2D"/>
    <w:rsid w:val="00272F4C"/>
    <w:rsid w:val="002C2FB3"/>
    <w:rsid w:val="00306655"/>
    <w:rsid w:val="003943A1"/>
    <w:rsid w:val="00395F4D"/>
    <w:rsid w:val="003C5857"/>
    <w:rsid w:val="003F0427"/>
    <w:rsid w:val="00415507"/>
    <w:rsid w:val="0044541A"/>
    <w:rsid w:val="00451F17"/>
    <w:rsid w:val="004778FF"/>
    <w:rsid w:val="004A511F"/>
    <w:rsid w:val="00512EE1"/>
    <w:rsid w:val="0053066D"/>
    <w:rsid w:val="00563CBF"/>
    <w:rsid w:val="00614159"/>
    <w:rsid w:val="00654DD8"/>
    <w:rsid w:val="00670E01"/>
    <w:rsid w:val="0067411E"/>
    <w:rsid w:val="006B36C5"/>
    <w:rsid w:val="006C059D"/>
    <w:rsid w:val="00712EC0"/>
    <w:rsid w:val="00720FE7"/>
    <w:rsid w:val="0079688B"/>
    <w:rsid w:val="007C13AD"/>
    <w:rsid w:val="00815F6E"/>
    <w:rsid w:val="008D26BF"/>
    <w:rsid w:val="008F41F8"/>
    <w:rsid w:val="00912915"/>
    <w:rsid w:val="00913C9F"/>
    <w:rsid w:val="0091704C"/>
    <w:rsid w:val="009309B7"/>
    <w:rsid w:val="0096259E"/>
    <w:rsid w:val="009C611E"/>
    <w:rsid w:val="00A147C9"/>
    <w:rsid w:val="00A14D11"/>
    <w:rsid w:val="00AD2F63"/>
    <w:rsid w:val="00AF0AA8"/>
    <w:rsid w:val="00B02FE6"/>
    <w:rsid w:val="00B06451"/>
    <w:rsid w:val="00B31A7B"/>
    <w:rsid w:val="00B661B4"/>
    <w:rsid w:val="00B66B34"/>
    <w:rsid w:val="00B7079F"/>
    <w:rsid w:val="00BD4CFE"/>
    <w:rsid w:val="00C40621"/>
    <w:rsid w:val="00CC0F10"/>
    <w:rsid w:val="00D04405"/>
    <w:rsid w:val="00D12980"/>
    <w:rsid w:val="00D41F9F"/>
    <w:rsid w:val="00D44D5D"/>
    <w:rsid w:val="00D723DE"/>
    <w:rsid w:val="00D9448B"/>
    <w:rsid w:val="00DD4305"/>
    <w:rsid w:val="00DE36E5"/>
    <w:rsid w:val="00DE6AF6"/>
    <w:rsid w:val="00E078CD"/>
    <w:rsid w:val="00E2775E"/>
    <w:rsid w:val="00E85414"/>
    <w:rsid w:val="00E963C7"/>
    <w:rsid w:val="00EB0915"/>
    <w:rsid w:val="00EB5D58"/>
    <w:rsid w:val="00EC4951"/>
    <w:rsid w:val="00EE6A01"/>
    <w:rsid w:val="00F06864"/>
    <w:rsid w:val="00F1656A"/>
    <w:rsid w:val="00F17510"/>
    <w:rsid w:val="00F35878"/>
    <w:rsid w:val="00F857B1"/>
    <w:rsid w:val="00FA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4D578-07DA-47C8-A2DF-565EEAB3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C7"/>
    <w:pPr>
      <w:spacing w:after="0" w:line="240" w:lineRule="auto"/>
    </w:pPr>
  </w:style>
  <w:style w:type="paragraph" w:styleId="BalloonText">
    <w:name w:val="Balloon Text"/>
    <w:basedOn w:val="Normal"/>
    <w:link w:val="BalloonTextChar"/>
    <w:uiPriority w:val="99"/>
    <w:semiHidden/>
    <w:unhideWhenUsed/>
    <w:rsid w:val="009C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1E"/>
    <w:rPr>
      <w:rFonts w:ascii="Tahoma" w:hAnsi="Tahoma" w:cs="Tahoma"/>
      <w:sz w:val="16"/>
      <w:szCs w:val="16"/>
    </w:rPr>
  </w:style>
  <w:style w:type="table" w:styleId="TableGrid">
    <w:name w:val="Table Grid"/>
    <w:basedOn w:val="TableNormal"/>
    <w:uiPriority w:val="59"/>
    <w:rsid w:val="00BD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655"/>
  </w:style>
  <w:style w:type="paragraph" w:styleId="Footer">
    <w:name w:val="footer"/>
    <w:basedOn w:val="Normal"/>
    <w:link w:val="FooterChar"/>
    <w:uiPriority w:val="99"/>
    <w:unhideWhenUsed/>
    <w:rsid w:val="0030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655"/>
  </w:style>
  <w:style w:type="paragraph" w:styleId="ListParagraph">
    <w:name w:val="List Paragraph"/>
    <w:basedOn w:val="Normal"/>
    <w:uiPriority w:val="34"/>
    <w:qFormat/>
    <w:rsid w:val="002C2FB3"/>
    <w:pPr>
      <w:ind w:left="720"/>
      <w:contextualSpacing/>
    </w:pPr>
  </w:style>
  <w:style w:type="character" w:styleId="Hyperlink">
    <w:name w:val="Hyperlink"/>
    <w:basedOn w:val="DefaultParagraphFont"/>
    <w:uiPriority w:val="99"/>
    <w:unhideWhenUsed/>
    <w:rsid w:val="00B70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sfoa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imgres?imgurl&amp;imgrefurl=http://www.quististrepe.info/usgbc-logo&amp;h=0&amp;w=0&amp;sz=1&amp;tbnid=RqTJhr6DG3Mr0M&amp;tbnh=225&amp;tbnw=225&amp;zoom=1&amp;docid=Q5FfOAhSmnaPjM&amp;ei=rVK9UaQchob1BIeUgdAB&amp;ved=0CAEQsC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EB32-F7B0-4413-A008-AA4A5952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Jose</cp:lastModifiedBy>
  <cp:revision>3</cp:revision>
  <cp:lastPrinted>2015-09-05T06:08:00Z</cp:lastPrinted>
  <dcterms:created xsi:type="dcterms:W3CDTF">2018-01-06T13:54:00Z</dcterms:created>
  <dcterms:modified xsi:type="dcterms:W3CDTF">2018-01-06T13:54:00Z</dcterms:modified>
</cp:coreProperties>
</file>